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4"/>
        </w:rPr>
        <w:t>W</w:t>
      </w:r>
      <w:r>
        <w:rPr>
          <w:rFonts w:ascii="Times New Roman;serif" w:hAnsi="Times New Roman;serif"/>
          <w:b/>
          <w:color w:val="000000"/>
          <w:sz w:val="18"/>
        </w:rPr>
        <w:t>ASHINGTON</w:t>
      </w:r>
      <w:r>
        <w:rPr>
          <w:rFonts w:ascii="Times New Roman;serif" w:hAnsi="Times New Roman;serif"/>
          <w:b/>
          <w:color w:val="000000"/>
          <w:sz w:val="22"/>
        </w:rPr>
        <w:t>,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6,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ARTIVION,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tbl>
      <w:tblPr>
        <w:tblW w:w="7153" w:type="dxa"/>
        <w:jc w:val="left"/>
        <w:tblInd w:w="0" w:type="dxa"/>
        <w:tblLayout w:type="fixed"/>
        <w:tblCellMar>
          <w:top w:w="28" w:type="dxa"/>
          <w:left w:w="28" w:type="dxa"/>
          <w:bottom w:w="28" w:type="dxa"/>
          <w:right w:w="28" w:type="dxa"/>
        </w:tblCellMar>
      </w:tblPr>
      <w:tblGrid>
        <w:gridCol w:w="949"/>
        <w:gridCol w:w="833"/>
        <w:gridCol w:w="842"/>
        <w:gridCol w:w="882"/>
        <w:gridCol w:w="882"/>
        <w:gridCol w:w="890"/>
        <w:gridCol w:w="548"/>
        <w:gridCol w:w="548"/>
        <w:gridCol w:w="779"/>
      </w:tblGrid>
      <w:tr>
        <w:trPr/>
        <w:tc>
          <w:tcPr>
            <w:tcW w:w="94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1-13165</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59-2417093</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w:t>
              <w:br/>
              <w:t>of Incorporation)</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(IRS Employer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Identification No.)</w:t>
            </w:r>
          </w:p>
        </w:tc>
      </w:tr>
    </w:tbl>
    <w:tbl>
      <w:tblPr>
        <w:tblW w:w="6701" w:type="dxa"/>
        <w:jc w:val="center"/>
        <w:tblInd w:w="0" w:type="dxa"/>
        <w:tblLayout w:type="fixed"/>
        <w:tblCellMar>
          <w:top w:w="28" w:type="dxa"/>
          <w:left w:w="28" w:type="dxa"/>
          <w:bottom w:w="28" w:type="dxa"/>
          <w:right w:w="28" w:type="dxa"/>
        </w:tblCellMar>
      </w:tblPr>
      <w:tblGrid>
        <w:gridCol w:w="1885"/>
        <w:gridCol w:w="1655"/>
        <w:gridCol w:w="1664"/>
        <w:gridCol w:w="109"/>
        <w:gridCol w:w="109"/>
        <w:gridCol w:w="109"/>
        <w:gridCol w:w="343"/>
        <w:gridCol w:w="343"/>
        <w:gridCol w:w="484"/>
      </w:tblGrid>
      <w:tr>
        <w:trPr/>
        <w:tc>
          <w:tcPr>
            <w:tcW w:w="188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1655 Roberts Boulevard, N.W., Kennesaw,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30144</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Registrant’s telephone number, including area code: (770) 419-3355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___________________________________________________________________________________</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(see 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5"/>
        <w:gridCol w:w="2875"/>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13e-4(c) under the Exchange Act (17 CFR 240.13e-4(c))</w:t>
            </w:r>
          </w:p>
        </w:tc>
      </w:tr>
    </w:tbl>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Securities registered pursuant to Section 12(b) of the Act:</w:t>
      </w:r>
    </w:p>
    <w:tbl>
      <w:tblPr>
        <w:tblW w:w="7603" w:type="dxa"/>
        <w:jc w:val="left"/>
        <w:tblInd w:w="0" w:type="dxa"/>
        <w:tblLayout w:type="fixed"/>
        <w:tblCellMar>
          <w:top w:w="28" w:type="dxa"/>
          <w:left w:w="28" w:type="dxa"/>
          <w:bottom w:w="28" w:type="dxa"/>
          <w:right w:w="28" w:type="dxa"/>
        </w:tblCellMar>
      </w:tblPr>
      <w:tblGrid>
        <w:gridCol w:w="1145"/>
        <w:gridCol w:w="1004"/>
        <w:gridCol w:w="1016"/>
        <w:gridCol w:w="639"/>
        <w:gridCol w:w="639"/>
        <w:gridCol w:w="641"/>
        <w:gridCol w:w="737"/>
        <w:gridCol w:w="737"/>
        <w:gridCol w:w="1045"/>
      </w:tblGrid>
      <w:tr>
        <w:trPr/>
        <w:tc>
          <w:tcPr>
            <w:tcW w:w="114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 of each class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Trading Symbol(s)</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Name of each exchange </w:t>
              <w:br/>
              <w:t>on which registered</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AORT</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NYSE</w:t>
            </w:r>
          </w:p>
        </w:tc>
      </w:tr>
    </w:tbl>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60" w:after="283"/>
        <w:jc w:val="both"/>
        <w:rPr/>
      </w:pPr>
      <w:r>
        <w:rPr>
          <w:rFonts w:ascii="Times New Roman;serif" w:hAnsi="Times New Roman;serif"/>
          <w:b w:val="false"/>
          <w:color w:val="000000"/>
          <w:sz w:val="22"/>
        </w:rPr>
        <w:t xml:space="preserve">Emerging growth company </w:t>
      </w:r>
      <w:r>
        <w:rPr>
          <w:color w:val="000000"/>
        </w:rPr>
        <w:t>☐</w:t>
      </w:r>
    </w:p>
    <w:p>
      <w:pPr>
        <w:pStyle w:val="TextBody"/>
        <w:bidi w:val="0"/>
        <w:spacing w:lineRule="auto" w:line="288" w:before="160" w:after="283"/>
        <w:jc w:val="both"/>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2.02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6, 2026, Artivion, Inc. (“Artivion”) issued a press release announcing its financial results for the second quarter ended June 30, 2026. Artivion hereby incorporates by reference herein the information set forth in its press release dated August 6, 2026, a copy of which is attached hereto as Exhibit 99.1. Except as otherwise provided in the press release, the press release speaks only as of the date of such press release and it shall not create any implication that the affairs of Artivion have continued unchanged since such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provided pursuant to this Item 2.02, including Exhibit 99.1 attached hereto, is to be considered “furnished” pursuant to Item 2.02 of Form 8-K and shall not be deemed to be “filed” for purposes of Section 18 of the Securities Exchange Act of 1934, as amended, or otherwise subject to the liabilities of that Section or Sections 11 and 12(a)(2) of the Securities Act of 1933, as amended, nor shall it be deemed incorporated by reference into any of Artivion’s reports or filings with the Securities and Exchange Commission (the “SEC”), whether made before or after the date hereof, except as expressly set forth by specific reference in such report or filing.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for the historical information contained in this report, the statements made by Artivion are forward-looking statements that involve risks and uncertainties. All such statements are subject to the safe harbor created by the Private Securities Litigation Reform Act of 1995. Artivion’s future financial performance could differ significantly from the expectations of management and from results expressed or implied in the press release. Please refer to the last paragraph of the text portion of the press release for further discussion about forward-looking statements. For further information on risk factors, please refer to “Risk Factors” contained in Artivion’s most recently filed Form 10-K and its subsequent filings with the SEC, as well as in the press release attached as Exhibit 99.1 hereto. Artivion disclaims any obligation or duty to update or modify these forward-looking statements.</w:t>
      </w:r>
    </w:p>
    <w:p>
      <w:pPr>
        <w:pStyle w:val="TextBody"/>
        <w:bidi w:val="0"/>
        <w:spacing w:lineRule="auto" w:line="268" w:before="24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9.01    Financial Statements and Exhibits.</w:t>
      </w:r>
    </w:p>
    <w:p>
      <w:pPr>
        <w:pStyle w:val="TextBody"/>
        <w:bidi w:val="0"/>
        <w:spacing w:lineRule="auto" w:line="288" w:before="240" w:after="283"/>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(d)Exhibits.</w:t>
      </w:r>
    </w:p>
    <w:tbl>
      <w:tblPr>
        <w:tblW w:w="8173" w:type="dxa"/>
        <w:jc w:val="left"/>
        <w:tblInd w:w="0" w:type="dxa"/>
        <w:tblLayout w:type="fixed"/>
        <w:tblCellMar>
          <w:top w:w="28" w:type="dxa"/>
          <w:left w:w="28" w:type="dxa"/>
          <w:bottom w:w="28" w:type="dxa"/>
          <w:right w:w="28" w:type="dxa"/>
        </w:tblCellMar>
      </w:tblPr>
      <w:tblGrid>
        <w:gridCol w:w="587"/>
        <w:gridCol w:w="515"/>
        <w:gridCol w:w="517"/>
        <w:gridCol w:w="1916"/>
        <w:gridCol w:w="1916"/>
        <w:gridCol w:w="2722"/>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 Number</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aort-2026x8k063026ex991.htm">
              <w:r>
                <w:rPr>
                  <w:rStyle w:val="InternetLink"/>
                  <w:rFonts w:ascii="Times New Roman;serif" w:hAnsi="Times New Roman;serif"/>
                  <w:b w:val="false"/>
                  <w:color w:val="0000FF"/>
                  <w:sz w:val="22"/>
                </w:rPr>
                <w:t>99.1</w:t>
              </w:r>
            </w:hyperlink>
          </w:p>
        </w:tc>
        <w:tc>
          <w:tcPr>
            <w:tcW w:w="6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Press Release dated August 6, 2026.</w:t>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for the cover page of this Current Report on Form 8-K.</w:t>
            </w:r>
          </w:p>
        </w:tc>
      </w:tr>
    </w:tbl>
    <w:p>
      <w:pPr>
        <w:pStyle w:val="TextBody"/>
        <w:bidi w:val="0"/>
        <w:spacing w:before="240" w:after="283"/>
        <w:jc w:val="left"/>
        <w:rPr/>
      </w:pPr>
      <w:r>
        <w:rPr/>
      </w:r>
    </w:p>
    <w:p>
      <w:pPr>
        <w:pStyle w:val="TextBody"/>
        <w:bidi w:val="0"/>
        <w:spacing w:before="240" w:after="283"/>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Artivion, Inc. has duly caused this report to be signed on its behalf by the undersigned hereunto duly authorized.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Date: August 6, 2026</w:t>
      </w:r>
    </w:p>
    <w:tbl>
      <w:tblPr>
        <w:tblW w:w="9633" w:type="dxa"/>
        <w:jc w:val="left"/>
        <w:tblInd w:w="0" w:type="dxa"/>
        <w:tblLayout w:type="fixed"/>
        <w:tblCellMar>
          <w:top w:w="28" w:type="dxa"/>
          <w:left w:w="28" w:type="dxa"/>
          <w:bottom w:w="28" w:type="dxa"/>
          <w:right w:w="28" w:type="dxa"/>
        </w:tblCellMar>
      </w:tblPr>
      <w:tblGrid>
        <w:gridCol w:w="124"/>
        <w:gridCol w:w="109"/>
        <w:gridCol w:w="109"/>
        <w:gridCol w:w="282"/>
        <w:gridCol w:w="282"/>
        <w:gridCol w:w="282"/>
        <w:gridCol w:w="2461"/>
        <w:gridCol w:w="2461"/>
        <w:gridCol w:w="3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ARTIVION,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Lance A. Berry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Lance A. Berry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Operating Officer,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p>
                  </w:txbxContent>
                </v:textbox>
                <w10:wrap type="none"/>
              </v:rect>
            </w:pict>
          </mc:Fallback>
        </mc:AlternateContent>
      </w:r>
    </w:p>
    <w:p>
      <w:pPr>
        <w:pStyle w:val="TextBody"/>
        <w:bidi w:val="0"/>
        <w:spacing w:before="240" w:after="283"/>
        <w:jc w:val="center"/>
        <w:rPr/>
      </w:pPr>
      <w:r>
        <w:rPr/>
        <w:drawing>
          <wp:inline distT="0" distB="0" distL="0" distR="0">
            <wp:extent cx="2381250"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7620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FOR IMMEDIATE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3"/>
        </w:rPr>
      </w:pPr>
      <w:r>
        <w:rPr>
          <w:rFonts w:ascii="Times New Roman;serif" w:hAnsi="Times New Roman;serif"/>
          <w:b/>
          <w:color w:val="000000"/>
          <w:sz w:val="23"/>
        </w:rPr>
        <w:t>Contacts:</w:t>
      </w:r>
    </w:p>
    <w:tbl>
      <w:tblPr>
        <w:tblW w:w="4966" w:type="dxa"/>
        <w:jc w:val="left"/>
        <w:tblInd w:w="0" w:type="dxa"/>
        <w:tblLayout w:type="fixed"/>
        <w:tblCellMar>
          <w:top w:w="28" w:type="dxa"/>
          <w:left w:w="28" w:type="dxa"/>
          <w:bottom w:w="28" w:type="dxa"/>
          <w:right w:w="28" w:type="dxa"/>
        </w:tblCellMar>
      </w:tblPr>
      <w:tblGrid>
        <w:gridCol w:w="934"/>
        <w:gridCol w:w="821"/>
        <w:gridCol w:w="825"/>
        <w:gridCol w:w="697"/>
        <w:gridCol w:w="697"/>
        <w:gridCol w:w="992"/>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3"/>
              </w:rPr>
            </w:pPr>
            <w:r>
              <w:rPr>
                <w:rFonts w:ascii="Times New Roman;serif" w:hAnsi="Times New Roman;serif"/>
                <w:b/>
                <w:color w:val="000000"/>
                <w:sz w:val="23"/>
              </w:rPr>
              <w:t>Artivion</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3"/>
              </w:rPr>
            </w:pPr>
            <w:r>
              <w:rPr>
                <w:rFonts w:ascii="Times New Roman;serif" w:hAnsi="Times New Roman;serif"/>
                <w:b/>
                <w:color w:val="000000"/>
                <w:sz w:val="23"/>
              </w:rPr>
              <w:t>Gilmartin Group LLC</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Lance A. Berry</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 xml:space="preserve">Brian Johnston </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Executive Vice President,</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Phone: 332-895-3222</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Chief Operating Officer &amp;</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investors@artivion.com</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Chief Financial Officer</w:t>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Phone: 770-419-3355</w:t>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Artivion Reports Second Quarter 2026 Financial Results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Second Quarter &amp; Recent Business Highlights: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3"/>
        </w:rPr>
        <w:t xml:space="preserve">Achieved revenue of $125.8 million in the second quarter of 2026 versus $113.0 million in the second quarter of 2025, an increase of 11% on a GAAP basis and 9% on a non-GAAP constant currency basis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3"/>
        </w:rPr>
        <w:t>Net loss for the second quarter of 2026 was $(13.5) million, or $(0.28) per fully diluted share, and non-GAAP net income was $6.3 million, or $0.13 per fully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3"/>
        </w:rPr>
        <w:t>Adjusted EBITDA increased 7% to $26.4 million in the second quarter of 2026 compared to $24.8 million in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3"/>
        </w:rPr>
        <w:t>Announced U.S. FDA PMA Approval of the AMDS Hybrid Prosthesis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3"/>
        </w:rPr>
        <w:t>Completed acquisition of Endospan Ltd.</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color w:val="000000"/>
          <w:sz w:val="23"/>
        </w:rPr>
        <w:t>ATLANTA, GA – (August 6, 2026) – Artivion, Inc. (NYSE: AORT),</w:t>
      </w:r>
      <w:r>
        <w:rPr>
          <w:color w:val="000000"/>
        </w:rPr>
        <w:t xml:space="preserve"> </w:t>
      </w:r>
      <w:r>
        <w:rPr>
          <w:rFonts w:ascii="Times New Roman;serif" w:hAnsi="Times New Roman;serif"/>
          <w:b w:val="false"/>
          <w:color w:val="000000"/>
          <w:sz w:val="23"/>
        </w:rPr>
        <w:t>a leading cardiac and vascular surgery company focused on aortic disease, today announced financial results for the second quarter ended June 30, 2026.</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3"/>
        </w:rPr>
        <w:t>In the second quarter of 2026, we delivered 9% constant currency revenue growth and 7% adjusted EBITDA growth, reflecting continued execution of our strategy to drive long-term, profitable growth through an expanding and clinically differentiated product portfolio. Revenue growth was once again driven primarily by On-X and stent grafts, including AMDS, with On-X growing 18% and stent grafts growing 12% on a constant currency basis, both compared to the second quarter of 2025,” said Pat Mackin, Chairman, President, and Chief Executive Officer.</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3"/>
        </w:rPr>
      </w:pPr>
      <w:r>
        <w:rPr>
          <w:rFonts w:ascii="Times New Roman;serif" w:hAnsi="Times New Roman;serif"/>
          <w:b w:val="false"/>
          <w:color w:val="000000"/>
          <w:sz w:val="23"/>
        </w:rPr>
        <w:t>Mr. Mackin continued, “During the quarter, we achieved two milestones we have been focused on since the start of the year. First, we completed the acquisition of Endospan Ltd. and its NEXUS Aortic Arch Stent Graft System sooner than we had anticipated; and second, we received U.S. FDA approval of the PMA for our AMDS Hybrid Prosthesis. Together with ARCEVO LSA, AMDS and NEXUS complete our market-leading, three-pronged aortic arch portfolio, positioning us as the only company globally with a complete portfolio of aortic arch solutions. NEXUS is also a platform technology that is supporting three additional PMA programs in development, which we expect will further extend and solidify our leadership in the aortic arch market over time.”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 of 11</w:t>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00000"/>
          <w:sz w:val="23"/>
        </w:rPr>
        <w:t xml:space="preserve">Mr. Mackin concluded, “Overall, we are pleased with our second quarter performance, which included an acceleration in stent graft revenue and a return to growth across all international geographies. Combined with the AMDS PMA approval, we have </w:t>
      </w:r>
      <w:r>
        <w:rPr>
          <w:rFonts w:ascii="Times New Roman;serif" w:hAnsi="Times New Roman;serif"/>
          <w:b w:val="false"/>
          <w:color w:val="000000"/>
          <w:sz w:val="24"/>
        </w:rPr>
        <w:t>even greater confidence in our ability to deliver our full year guidance</w:t>
      </w:r>
      <w:r>
        <w:rPr>
          <w:rFonts w:ascii="Times New Roman;serif" w:hAnsi="Times New Roman;serif"/>
          <w:b w:val="false"/>
          <w:color w:val="000000"/>
          <w:sz w:val="23"/>
        </w:rPr>
        <w:t>.</w:t>
      </w:r>
      <w:r>
        <w:rPr>
          <w:color w:val="000000"/>
        </w:rPr>
        <w:t xml:space="preserve"> </w:t>
      </w:r>
      <w:r>
        <w:rPr>
          <w:rFonts w:ascii="Times New Roman;serif" w:hAnsi="Times New Roman;serif"/>
          <w:b w:val="false"/>
          <w:color w:val="000000"/>
          <w:sz w:val="23"/>
        </w:rPr>
        <w:t>We continue to build our broader market expansion pipeline, with ARTIZEN enrolling as expected, and remain confident in our longer-term growth outlook.”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Second Quarter 2026 Financial Results</w:t>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Total revenues for the second quarter of 2026 were $125.8 million, an increase of 11% on a GAAP basis and 9% on a non-GAAP constant currency basis, both compared to the second quarter of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Net loss for the second quarter of 2026 was $(13.5) million, or $(0.28) per fully diluted common share, compared to net income of $1.3 million, or $0.03 per fully diluted common share for the second quarter of 2025. Non-GAAP net income for the second quarter of 2026 was $6.3 million, or $0.13 per fully diluted common share, compared to non-GAAP net income of $10.7 million, or $0.24 per fully diluted common share, for the second quarter of 2025. Non-GAAP net income for the second quarter of 2026 includes pretax losses related to foreign currency revaluation of $0.7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2026 Financial Outlook</w:t>
      </w:r>
    </w:p>
    <w:p>
      <w:pPr>
        <w:pStyle w:val="TextBody"/>
        <w:bidi w:val="0"/>
        <w:spacing w:lineRule="auto" w:line="276" w:before="0" w:after="0"/>
        <w:jc w:val="both"/>
        <w:rPr/>
      </w:pPr>
      <w:r>
        <w:rPr>
          <w:rFonts w:ascii="Times New Roman;serif" w:hAnsi="Times New Roman;serif"/>
          <w:b w:val="false"/>
          <w:color w:val="000000"/>
          <w:sz w:val="23"/>
        </w:rPr>
        <w:t>Artivion is reiterating its expectations for revenue for the full year 2026 to be in the range of $480 to $496 million, representing growth of 7% to 11% on an adjusted constant currency basis compared to 2025 adjusted revenue</w:t>
      </w:r>
      <w:r>
        <w:rPr>
          <w:rFonts w:ascii="Times New Roman;serif" w:hAnsi="Times New Roman;serif"/>
          <w:b w:val="false"/>
          <w:color w:val="000000"/>
          <w:sz w:val="13"/>
        </w:rPr>
        <w:t>1</w:t>
      </w:r>
      <w:r>
        <w:rPr>
          <w:rFonts w:ascii="Times New Roman;serif" w:hAnsi="Times New Roman;serif"/>
          <w:b w:val="false"/>
          <w:color w:val="000000"/>
          <w:sz w:val="23"/>
        </w:rPr>
        <w:t>.</w:t>
      </w:r>
      <w:r>
        <w:rPr>
          <w:color w:val="000000"/>
        </w:rPr>
        <w:t xml:space="preserve"> </w:t>
      </w:r>
      <w:r>
        <w:rPr>
          <w:rFonts w:ascii="Times New Roman;serif" w:hAnsi="Times New Roman;serif"/>
          <w:b w:val="false"/>
          <w:color w:val="000000"/>
          <w:sz w:val="23"/>
        </w:rPr>
        <w:t xml:space="preserve">This guidance contemplates a continued expectation for currency to represent an approximate one percentage point tailwind for the full year.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3"/>
        </w:rPr>
        <w:t>Artivion is reiterating its full year 2026 adjusted EBITDA to be in the range of $92 to $99 million. This guidance includes the previously articulated expectation to incur approximately $8 million of expense through the full year 2026 associated with the acquisition of Endospa</w:t>
      </w:r>
      <w:r>
        <w:rPr>
          <w:rFonts w:ascii="Times New Roman;serif" w:hAnsi="Times New Roman;serif"/>
          <w:b w:val="false"/>
          <w:color w:val="000000"/>
          <w:sz w:val="24"/>
        </w:rPr>
        <w:t>n, whic</w:t>
      </w:r>
      <w:r>
        <w:rPr>
          <w:rFonts w:ascii="Times New Roman;serif" w:hAnsi="Times New Roman;serif"/>
          <w:b w:val="false"/>
          <w:color w:val="000000"/>
          <w:sz w:val="23"/>
        </w:rPr>
        <w:t xml:space="preserve">h closed in May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The Company’s financial performance for 2026 and future periods is subject to the risks identified below.</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Full year 2025 adjusted revenue excluded a $2.3 million reserve for estimated payback to the Italian government for fiscal years 2019 through 2025 as a result of legislation adopted in Italy that would require medical device manufacturers to repay previously paid amounts to the extent that such expenditures ostensibly exceed annual regional maximum ceilings. In the fourth quarter of 2025, the Company recorded a liability of $2.3 million as a reduction to revenue as an estimate of the amount that the Company may be required to repay for certain years after 2018. See “Non-GAAP Financial Measures” for important information about our use of non-GAAP measures.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 of 11</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rPr>
        <w:t>Non-GAAP Financial Measures</w:t>
      </w:r>
      <w:r>
        <w:rPr>
          <w:color w:val="000000"/>
        </w:rPr>
        <w:t xml:space="preserve"> </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This press release contains non-GAAP financial measures, including non-GAAP adjusted revenue, non-GAAP net income, EBITDA, adjusted EBITDA, non-GAAP general, administrative, and marketing expenses, and free cash flows. Investors should consider this non-GAAP information in addition to, and not as a substitute for, financial measures prepared in accordance with US GAAP. In addition, this non-GAAP financial information may not be the same as similar measures presented by other companies. The Company’s non-GAAP adjusted constant currency growth rates compare current year revenues to prior period revenues adjusted for the impact of changes in currency exchange. The Company’s non-GAAP net income, EBITDA, adjusted EBITDA, general, administrative, and marketing, and free cash flows results primarily exclude (as applicable) depreciation and amortization expense, interest income and expense, non-cash compensation expense, loss or gain on foreign currency revaluation, income tax expense or benefit, expense/(income) for business development, integration, and severance, losses on inducement/extinguishment of debt, non-cash interest expense, capital expenditures, and other non-recurring items.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 generally uses non-GAAP financial measures to facilitate management’s review of the operational performance of the Company and as a basis for strategic planning. Company management believes that these non-GAAP presentations provide useful information to investors regarding unusual non-operating transactions, the operating expense structure of the Company’s existing and acquired operations, without regard to its on-going efforts to acquire additional complementary products and businesses, and the transaction and integration expenses incurred in connection with recently acquired and divested product lines, and the operating expense structure excluding fluctuations resulting from foreign currency revaluation and non-cash compensation expense. The Company believes it is useful to exclude this revenue impact and certain expenses from non-GAAP financial measures because such amounts in any specific period may not directly correlate to the underlying performance of its business operations or can vary significantly between periods as a result of factors such as impact of recent acquisitions, non-cash expense related to depreciation and amortization of previously acquired tangible and intangible assets, and any related adjustments to their carrying values. The Company has adjusted for the impact of changes in currency exchange from certain revenues to evaluate comparable product growth rates on a constant currency basis. The Company does, however, expect to incur similar types of expenses and currency exchange impacts in the future, and this non-GAAP financial information should not be viewed as a statement or indication that these types of expenses will not recur. Company management encourages investors to review the Company’s consolidated financial statements and publicly filed reports in their entirety, including the reconciliation of GAAP to non-GAAP financial measures.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Company’s adjusted EBITDA expectations for fiscal 2026 exclude potential charges or gains that may be recorded during the fiscal year, relating to, among other things, non-cash compensation; expense/(income) for business development, integration, and severance; losses on inducement/extinguishment of debt; and foreign currency revaluations. The Company does not attempt to provide reconciliations of forward-looking adjusted EBITDA to the comparable GAAP measure because the impact and timing of these potential charges or gains are inherently uncertain and difficult to predict and are unavailable without unreasonable efforts. In addition, the Company believes such reconciliations would imply a degree of precision and certainty that could be confusing to investors. Such items could have a material impact on GAAP measures of the Company’s financial performance.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3"/>
        </w:rPr>
      </w:pPr>
      <w:r>
        <w:rPr>
          <w:rFonts w:ascii="Times New Roman;serif" w:hAnsi="Times New Roman;serif"/>
          <w:b/>
          <w:color w:val="000000"/>
          <w:sz w:val="23"/>
        </w:rPr>
        <w:t>Webcast and Conference Call Information</w:t>
      </w:r>
    </w:p>
    <w:p>
      <w:pPr>
        <w:pStyle w:val="TextBody"/>
        <w:bidi w:val="0"/>
        <w:spacing w:lineRule="auto" w:line="288"/>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 will hold a teleconference call and live webcast on August 6, 2026, at 4:30 p.m. ET to discuss the results, followed by a question-and-answer session. To participate in the conference call, dial 201-689-8261 a few minutes prior to 4:30 p.m. ET. The teleconference replay will be available approximately one hour following the completion of the event and can be accessed by calling (toll free) 877-660-6853 or 201-612-7415. The conference number for the replay is 13760537.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3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3 of 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The live webcast and replay can be accessed by going to the Investors section of the Artivion website at www.Artivion.com and selecting the heading Webcasts &amp; Presentations.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About Artivion, Inc.</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Headquartered in suburban Atlanta, Georgia, Artivion, Inc. is a medical device company focused on developing simple, elegant solutions that address cardiac and vascular surgeons’ most difficult challenges in treating patients with aortic diseases. Artivion’s four major groups of products include: aortic stent grafts, surgical sealants, On-X mechanical heart valves, and implantable cardiac and vascular human tissues. Artivion markets and sells products in more than 100 countries worldwide. For additional information about Artivion, visit our website, www.Artivion.com.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3"/>
        </w:rPr>
      </w:pPr>
      <w:r>
        <w:rPr>
          <w:rFonts w:ascii="Times New Roman;serif" w:hAnsi="Times New Roman;serif"/>
          <w:b/>
          <w:color w:val="000000"/>
          <w:sz w:val="23"/>
        </w:rPr>
        <w:t>Forward-Looking Statements</w:t>
      </w:r>
    </w:p>
    <w:p>
      <w:pPr>
        <w:pStyle w:val="TextBody"/>
        <w:bidi w:val="0"/>
        <w:spacing w:lineRule="auto" w:line="276" w:before="0" w:after="0"/>
        <w:jc w:val="both"/>
        <w:rPr/>
      </w:pPr>
      <w:r>
        <w:rPr>
          <w:rFonts w:ascii="Times New Roman;serif" w:hAnsi="Times New Roman;serif"/>
          <w:b w:val="false"/>
          <w:i/>
          <w:color w:val="000000"/>
          <w:sz w:val="23"/>
        </w:rPr>
        <w:t xml:space="preserve">Statements made in this press release that look forward in time or that express management's beliefs, expectations, or hopes are forward-looking statements within the meaning of the Private Securities Litigation Reform Act of 1995. Such forward-looking statements reflect the views of management at the time such statements are made. These statements include, but are not limited to, our beliefs and expectations about </w:t>
      </w:r>
      <w:r>
        <w:rPr>
          <w:rFonts w:ascii="Times New Roman;serif" w:hAnsi="Times New Roman;serif"/>
          <w:b w:val="false"/>
          <w:i/>
          <w:color w:val="000000"/>
          <w:sz w:val="24"/>
        </w:rPr>
        <w:t xml:space="preserve">our revenue, year-over-year growth, growth drivers and short and long term growth prospects, earnings, currency impacts, and other financial measures and related information; our beliefs about our competitive advantages and market opportunities; our expected product mix and business strategy; anticipated quarterly fluctuations in our business; our ability to scale our business and expand adjusted EBITDA margins; </w:t>
      </w:r>
      <w:r>
        <w:rPr>
          <w:rFonts w:ascii="Times New Roman;serif" w:hAnsi="Times New Roman;serif"/>
          <w:b w:val="false"/>
          <w:i/>
          <w:color w:val="000000"/>
          <w:sz w:val="23"/>
        </w:rPr>
        <w:t xml:space="preserve">that our revenues for the full year 2026 will be in the range of </w:t>
      </w:r>
      <w:r>
        <w:rPr>
          <w:rFonts w:ascii="Times New Roman;serif" w:hAnsi="Times New Roman;serif"/>
          <w:b w:val="false"/>
          <w:i/>
          <w:color w:val="000000"/>
          <w:sz w:val="24"/>
        </w:rPr>
        <w:t xml:space="preserve">$480 to $496 </w:t>
      </w:r>
      <w:r>
        <w:rPr>
          <w:rFonts w:ascii="Times New Roman;serif" w:hAnsi="Times New Roman;serif"/>
          <w:b w:val="false"/>
          <w:i/>
          <w:color w:val="000000"/>
          <w:sz w:val="23"/>
        </w:rPr>
        <w:t xml:space="preserve">million, representing revenue growth of between </w:t>
      </w:r>
      <w:r>
        <w:rPr>
          <w:rFonts w:ascii="Times New Roman;serif" w:hAnsi="Times New Roman;serif"/>
          <w:b w:val="false"/>
          <w:i/>
          <w:color w:val="000000"/>
          <w:sz w:val="24"/>
        </w:rPr>
        <w:t>7% to 11</w:t>
      </w:r>
      <w:r>
        <w:rPr>
          <w:rFonts w:ascii="Times New Roman;serif" w:hAnsi="Times New Roman;serif"/>
          <w:b w:val="false"/>
          <w:i/>
          <w:color w:val="000000"/>
          <w:sz w:val="23"/>
        </w:rPr>
        <w:t xml:space="preserve">% compared to 2025 on an adjusted constant currency basis; that we expect non-GAAP adjusted EBITDA to be in the range of </w:t>
      </w:r>
      <w:r>
        <w:rPr>
          <w:rFonts w:ascii="Times New Roman;serif" w:hAnsi="Times New Roman;serif"/>
          <w:b w:val="false"/>
          <w:i/>
          <w:color w:val="000000"/>
          <w:sz w:val="24"/>
        </w:rPr>
        <w:t>$92 to $99 million</w:t>
      </w:r>
      <w:r>
        <w:rPr>
          <w:color w:val="000000"/>
        </w:rPr>
        <w:t xml:space="preserve"> </w:t>
      </w:r>
      <w:r>
        <w:rPr>
          <w:rFonts w:ascii="Times New Roman;serif" w:hAnsi="Times New Roman;serif"/>
          <w:b w:val="false"/>
          <w:i/>
          <w:color w:val="000000"/>
          <w:sz w:val="23"/>
        </w:rPr>
        <w:t>in 2026; the expected benefits to be achieved from our Endospan acquisition; and our expected expenses to be incurred after close of the acquisition.</w:t>
      </w:r>
      <w:r>
        <w:rPr>
          <w:color w:val="000000"/>
        </w:rPr>
        <w:t xml:space="preserve"> </w:t>
      </w:r>
      <w:r>
        <w:rPr>
          <w:rFonts w:ascii="Times New Roman;serif" w:hAnsi="Times New Roman;serif"/>
          <w:b w:val="false"/>
          <w:i/>
          <w:color w:val="000000"/>
          <w:sz w:val="23"/>
        </w:rPr>
        <w:t>These forward-looking statements are subject to a number of risks, uncertainties, estimates and assumptions that may cause actual results to differ materially from current expectations, including, but not limited to, the unpredictability of the timing and outcome of regulatory decisions and other regulatory developments; risks relating to our international operations; the benefits anticipated from the Ascyrus Medical LLC and Endospan transactions, including the expected benefits of the NEXUS Aortic Arch Stent Graft System and other pipeline products; the benefits anticipated from our clinical trials may not be achieved or achieved on our anticipated timelines; and the benefits anticipated from our expansion into APAC and LATAM may not be achieved or achieved on our anticipated timelines. These risks and uncertainties include the risk factors detailed in our Securities and Exchange Commission filings, including our Form 10-Q for the quarter ended June 30, 2026. Artivion does not undertake to update its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4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4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Operations and Comprehensive (Loss) Income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9779" w:type="dxa"/>
        <w:jc w:val="center"/>
        <w:tblInd w:w="0" w:type="dxa"/>
        <w:tblLayout w:type="fixed"/>
        <w:tblCellMar>
          <w:top w:w="28" w:type="dxa"/>
          <w:left w:w="28" w:type="dxa"/>
          <w:bottom w:w="28" w:type="dxa"/>
          <w:right w:w="28" w:type="dxa"/>
        </w:tblCellMar>
      </w:tblPr>
      <w:tblGrid>
        <w:gridCol w:w="1555"/>
        <w:gridCol w:w="1359"/>
        <w:gridCol w:w="1375"/>
        <w:gridCol w:w="211"/>
        <w:gridCol w:w="796"/>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242,094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211,950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products and preservation services: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products and preservation services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75,261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136,689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126,160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per share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22,939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5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5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pPr>
      <w:r>
        <w:rPr>
          <w:rFonts w:ascii="Times New Roman;serif" w:hAnsi="Times New Roman;serif"/>
          <w:b w:val="false"/>
          <w:i/>
          <w:color w:val="000000"/>
          <w:sz w:val="20"/>
        </w:rPr>
        <w:t>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898"/>
        <w:gridCol w:w="2337"/>
        <w:gridCol w:w="2299"/>
        <w:gridCol w:w="196"/>
        <w:gridCol w:w="886"/>
        <w:gridCol w:w="109"/>
        <w:gridCol w:w="109"/>
        <w:gridCol w:w="109"/>
        <w:gridCol w:w="109"/>
        <w:gridCol w:w="205"/>
        <w:gridCol w:w="785"/>
        <w:gridCol w:w="163"/>
      </w:tblGrid>
      <w:tr>
        <w:trPr/>
        <w:tc>
          <w:tcPr>
            <w:tcW w:w="2898"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preservation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358,082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1,071,934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884,796</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procurement fees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contingent consideration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operating leases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106,931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101,556</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contingent consideration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maturities of operating leases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626,349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436,564</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5,000 shares authorized, no shares issued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75,000 shares authorized, 50,179 and 49,330 shares issued as of June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516,604 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Retained deficit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1,487 shares as of June 30, 2026 and December 31, 2025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445,585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448,232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1,071,934</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884,796</w:t>
            </w:r>
            <w:r>
              <w:rPr>
                <w:color w:val="000000"/>
              </w:rPr>
              <w:t>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6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6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Cash Flows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(Unaudited)</w:t>
      </w:r>
    </w:p>
    <w:tbl>
      <w:tblPr>
        <w:tblW w:w="9129" w:type="dxa"/>
        <w:jc w:val="center"/>
        <w:tblInd w:w="0" w:type="dxa"/>
        <w:tblLayout w:type="fixed"/>
        <w:tblCellMar>
          <w:top w:w="28" w:type="dxa"/>
          <w:left w:w="28" w:type="dxa"/>
          <w:bottom w:w="28" w:type="dxa"/>
          <w:right w:w="28" w:type="dxa"/>
        </w:tblCellMar>
      </w:tblPr>
      <w:tblGrid>
        <w:gridCol w:w="2381"/>
        <w:gridCol w:w="2095"/>
        <w:gridCol w:w="2109"/>
        <w:gridCol w:w="211"/>
        <w:gridCol w:w="796"/>
        <w:gridCol w:w="109"/>
        <w:gridCol w:w="109"/>
        <w:gridCol w:w="109"/>
        <w:gridCol w:w="109"/>
        <w:gridCol w:w="211"/>
        <w:gridCol w:w="736"/>
        <w:gridCol w:w="154"/>
      </w:tblGrid>
      <w:tr>
        <w:trPr/>
        <w:tc>
          <w:tcPr>
            <w:tcW w:w="2381"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from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lease expense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 of inventories and deferred preservation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and deferred preservation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Endospan,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sale of non-financial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issuance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financing insurance premiums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short-term notes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152,851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53,476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7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7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Highlights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8684" w:type="dxa"/>
        <w:jc w:val="left"/>
        <w:tblInd w:w="0" w:type="dxa"/>
        <w:tblLayout w:type="fixed"/>
        <w:tblCellMar>
          <w:top w:w="28" w:type="dxa"/>
          <w:left w:w="28" w:type="dxa"/>
          <w:bottom w:w="28" w:type="dxa"/>
          <w:right w:w="28" w:type="dxa"/>
        </w:tblCellMar>
      </w:tblPr>
      <w:tblGrid>
        <w:gridCol w:w="1089"/>
        <w:gridCol w:w="959"/>
        <w:gridCol w:w="96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46,414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90,811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76,443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47,146</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37,394</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5,259</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166,242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Preservation services </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45,708</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242,094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62,333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57,569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105,362</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88,534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75,758</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19,345</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11,485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242,094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8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8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Revenues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0"/>
        <w:gridCol w:w="665"/>
        <w:gridCol w:w="668"/>
        <w:gridCol w:w="211"/>
        <w:gridCol w:w="841"/>
        <w:gridCol w:w="109"/>
        <w:gridCol w:w="109"/>
        <w:gridCol w:w="109"/>
        <w:gridCol w:w="109"/>
        <w:gridCol w:w="211"/>
        <w:gridCol w:w="841"/>
        <w:gridCol w:w="109"/>
        <w:gridCol w:w="109"/>
        <w:gridCol w:w="109"/>
        <w:gridCol w:w="109"/>
        <w:gridCol w:w="332"/>
        <w:gridCol w:w="994"/>
        <w:gridCol w:w="171"/>
        <w:gridCol w:w="109"/>
        <w:gridCol w:w="109"/>
        <w:gridCol w:w="109"/>
        <w:gridCol w:w="267"/>
        <w:gridCol w:w="1066"/>
        <w:gridCol w:w="137"/>
        <w:gridCol w:w="109"/>
        <w:gridCol w:w="109"/>
        <w:gridCol w:w="109"/>
        <w:gridCol w:w="434"/>
        <w:gridCol w:w="419"/>
        <w:gridCol w:w="562"/>
      </w:tblGrid>
      <w:tr>
        <w:trPr/>
        <w:tc>
          <w:tcPr>
            <w:tcW w:w="8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for the</w:t>
              <w:b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w:t>
              <w:br/>
              <w:t>Change</w:t>
              <w:br/>
              <w:t>From Prior</w:t>
              <w:br/>
              <w:t>Year</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Rate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2,311</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89,755</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115,303</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2,331</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115,303</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0"/>
        <w:gridCol w:w="665"/>
        <w:gridCol w:w="668"/>
        <w:gridCol w:w="211"/>
        <w:gridCol w:w="841"/>
        <w:gridCol w:w="109"/>
        <w:gridCol w:w="109"/>
        <w:gridCol w:w="109"/>
        <w:gridCol w:w="109"/>
        <w:gridCol w:w="211"/>
        <w:gridCol w:w="841"/>
        <w:gridCol w:w="109"/>
        <w:gridCol w:w="109"/>
        <w:gridCol w:w="109"/>
        <w:gridCol w:w="109"/>
        <w:gridCol w:w="332"/>
        <w:gridCol w:w="994"/>
        <w:gridCol w:w="171"/>
        <w:gridCol w:w="109"/>
        <w:gridCol w:w="109"/>
        <w:gridCol w:w="109"/>
        <w:gridCol w:w="267"/>
        <w:gridCol w:w="1066"/>
        <w:gridCol w:w="137"/>
        <w:gridCol w:w="109"/>
        <w:gridCol w:w="109"/>
        <w:gridCol w:w="109"/>
        <w:gridCol w:w="434"/>
        <w:gridCol w:w="419"/>
        <w:gridCol w:w="562"/>
      </w:tblGrid>
      <w:tr>
        <w:trPr/>
        <w:tc>
          <w:tcPr>
            <w:tcW w:w="8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for the</w:t>
              <w:b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w:t>
              <w:br/>
              <w:t>Change</w:t>
              <w:br/>
              <w:t>From Prior</w:t>
              <w:br/>
              <w:t>Year</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Rate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90,811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48,091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166,242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7,596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173,838</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45,708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45,749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242,094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7,637</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219,587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242,094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7,637</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219,587</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9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9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General, Administrative, and Marketing Expense, EBITDA, Adjusted EBITDA, and Free Cash Flows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717"/>
        <w:gridCol w:w="1510"/>
        <w:gridCol w:w="1517"/>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5"/>
      </w:tblGrid>
      <w:tr>
        <w:trPr/>
        <w:tc>
          <w:tcPr>
            <w:tcW w:w="171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022" w:type="dxa"/>
            <w:gridSpan w:val="12"/>
            <w:tcBorders/>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G&amp;A expenses, GAAP to adjusted G&amp;A, non-GAAP:</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 expense,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G&amp;A,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119,276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106,410</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86"/>
        <w:gridCol w:w="1551"/>
        <w:gridCol w:w="1558"/>
        <w:gridCol w:w="211"/>
        <w:gridCol w:w="765"/>
        <w:gridCol w:w="109"/>
        <w:gridCol w:w="109"/>
        <w:gridCol w:w="109"/>
        <w:gridCol w:w="109"/>
        <w:gridCol w:w="211"/>
        <w:gridCol w:w="736"/>
        <w:gridCol w:w="109"/>
        <w:gridCol w:w="109"/>
        <w:gridCol w:w="109"/>
        <w:gridCol w:w="109"/>
        <w:gridCol w:w="211"/>
        <w:gridCol w:w="765"/>
        <w:gridCol w:w="109"/>
        <w:gridCol w:w="109"/>
        <w:gridCol w:w="109"/>
        <w:gridCol w:w="109"/>
        <w:gridCol w:w="211"/>
        <w:gridCol w:w="736"/>
        <w:gridCol w:w="156"/>
      </w:tblGrid>
      <w:tr>
        <w:trPr/>
        <w:tc>
          <w:tcPr>
            <w:tcW w:w="178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842" w:type="dxa"/>
            <w:gridSpan w:val="12"/>
            <w:tcBorders/>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net (loss) income, GAAP and EBITDA, non-GAAP to adjusted EBITDA, non-GAAP:</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non-GAAP</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26,892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foreign currency revaluation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42,312</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94"/>
        <w:gridCol w:w="1577"/>
        <w:gridCol w:w="1585"/>
        <w:gridCol w:w="211"/>
        <w:gridCol w:w="770"/>
        <w:gridCol w:w="109"/>
        <w:gridCol w:w="109"/>
        <w:gridCol w:w="109"/>
        <w:gridCol w:w="109"/>
        <w:gridCol w:w="211"/>
        <w:gridCol w:w="736"/>
        <w:gridCol w:w="109"/>
        <w:gridCol w:w="109"/>
        <w:gridCol w:w="109"/>
        <w:gridCol w:w="109"/>
        <w:gridCol w:w="211"/>
        <w:gridCol w:w="770"/>
        <w:gridCol w:w="109"/>
        <w:gridCol w:w="109"/>
        <w:gridCol w:w="109"/>
        <w:gridCol w:w="109"/>
        <w:gridCol w:w="211"/>
        <w:gridCol w:w="665"/>
        <w:gridCol w:w="156"/>
      </w:tblGrid>
      <w:tr>
        <w:trPr/>
        <w:tc>
          <w:tcPr>
            <w:tcW w:w="179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6"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776" w:type="dxa"/>
            <w:gridSpan w:val="12"/>
            <w:tcBorders/>
          </w:tcPr>
          <w:p>
            <w:pPr>
              <w:pStyle w:val="TableContents"/>
              <w:bidi w:val="0"/>
              <w:spacing w:before="0" w:after="283"/>
              <w:jc w:val="left"/>
              <w:rPr>
                <w:sz w:val="4"/>
                <w:szCs w:val="4"/>
              </w:rPr>
            </w:pPr>
            <w:r>
              <w:rPr>
                <w:sz w:val="4"/>
                <w:szCs w:val="4"/>
              </w:rPr>
            </w:r>
          </w:p>
        </w:tc>
      </w:tr>
      <w:tr>
        <w:trPr/>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cash flows from operating activities, GAAP to free cash flows, non-GAAP:</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flows,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(8,867)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10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10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Net Income and Diluted Income Per Common Share</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2170"/>
        <w:gridCol w:w="1362"/>
        <w:gridCol w:w="1385"/>
        <w:gridCol w:w="211"/>
        <w:gridCol w:w="754"/>
        <w:gridCol w:w="109"/>
        <w:gridCol w:w="109"/>
        <w:gridCol w:w="109"/>
        <w:gridCol w:w="109"/>
        <w:gridCol w:w="211"/>
        <w:gridCol w:w="736"/>
        <w:gridCol w:w="109"/>
        <w:gridCol w:w="109"/>
        <w:gridCol w:w="109"/>
        <w:gridCol w:w="109"/>
        <w:gridCol w:w="211"/>
        <w:gridCol w:w="754"/>
        <w:gridCol w:w="109"/>
        <w:gridCol w:w="109"/>
        <w:gridCol w:w="109"/>
        <w:gridCol w:w="109"/>
        <w:gridCol w:w="211"/>
        <w:gridCol w:w="736"/>
        <w:gridCol w:w="156"/>
      </w:tblGrid>
      <w:tr>
        <w:trPr/>
        <w:tc>
          <w:tcPr>
            <w:tcW w:w="217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GAAP:</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(11,699)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3,482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9"/>
              </w:rPr>
            </w:pPr>
            <w:r>
              <w:rPr>
                <w:rFonts w:ascii="Times New Roman;serif" w:hAnsi="Times New Roman;serif"/>
                <w:b/>
                <w:color w:val="000000"/>
                <w:sz w:val="19"/>
              </w:rPr>
              <w:t>(13,510)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1,345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9"/>
              </w:rPr>
            </w:pPr>
            <w:r>
              <w:rPr>
                <w:rFonts w:ascii="Times New Roman;serif" w:hAnsi="Times New Roman;serif"/>
                <w:b/>
                <w:color w:val="000000"/>
                <w:sz w:val="19"/>
              </w:rPr>
              <w:t>(12,093)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840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(loss) income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0.02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48,541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45,378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48,309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44,503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Reconciliation of (loss) income before income taxes, GAAP to adjusted income, non-GAAP:</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 GAAP:</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(11,360)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1,187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income before income taxes, non-GAAP</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8,461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14,309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14,032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17,634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calculated at a tax rate of 25%</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6,346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10,732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10,524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13,226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Reconciliation of diluted (loss) income per common share, GAAP to adjusted diluted income per common share, non-GAAP:</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(loss) income per common share, GAAP:</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0.02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adjustments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25% tax rate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diluted income per common share,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0.21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0.30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Reconciliation of diluted weighted-average common shares outstanding GAAP to diluted weighted-average common shares outstanding, non-GAAP:</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 GAAP:</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48,541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45,378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48,309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44,503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awards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 non-GAAP</w:t>
            </w:r>
          </w:p>
        </w:tc>
        <w:tc>
          <w:tcPr>
            <w:tcW w:w="9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49,618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45,378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49,669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44,503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11 of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4483</Words>
  <Characters>25618</Characters>
  <CharactersWithSpaces>29435</CharactersWithSpaces>
  <Paragraphs>1146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