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269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26999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406"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SEMEDO ANTHONY B.</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ARTIVION,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AORT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2"/>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40" w:type="dxa"/>
            <w:vAlign w:val="bottom"/>
            <w:tcBorders>
              <w:bottom w:val="single" w:sz="8" w:color="0000EE"/>
            </w:tcBorders>
          </w:tcPr>
          <w:p>
            <w:pPr>
              <w:spacing w:after="0"/>
              <w:rPr>
                <w:sz w:val="6"/>
                <w:szCs w:val="6"/>
                <w:color w:val="auto"/>
              </w:rPr>
            </w:pPr>
          </w:p>
        </w:tc>
        <w:tc>
          <w:tcPr>
            <w:tcW w:w="22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240" w:type="dxa"/>
            <w:vAlign w:val="bottom"/>
            <w:tcBorders>
              <w:bottom w:val="single" w:sz="8" w:color="0000EE"/>
            </w:tcBorders>
            <w:gridSpan w:val="2"/>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7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06/02/2026</w:t>
            </w:r>
          </w:p>
        </w:tc>
        <w:tc>
          <w:tcPr>
            <w:tcW w:w="22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ARTIVION, INC.</w:t>
            </w:r>
          </w:p>
        </w:tc>
        <w:tc>
          <w:tcPr>
            <w:tcW w:w="1400" w:type="dxa"/>
            <w:vAlign w:val="bottom"/>
          </w:tcPr>
          <w:p>
            <w:pPr>
              <w:spacing w:after="0"/>
              <w:rPr>
                <w:sz w:val="11"/>
                <w:szCs w:val="11"/>
                <w:color w:val="auto"/>
              </w:rPr>
            </w:pPr>
          </w:p>
        </w:tc>
        <w:tc>
          <w:tcPr>
            <w:tcW w:w="1700" w:type="dxa"/>
            <w:vAlign w:val="bottom"/>
            <w:gridSpan w:val="3"/>
            <w:vMerge w:val="continue"/>
          </w:tcPr>
          <w:p>
            <w:pPr>
              <w:spacing w:after="0"/>
              <w:rPr>
                <w:sz w:val="11"/>
                <w:szCs w:val="11"/>
                <w:color w:val="auto"/>
              </w:rPr>
            </w:pPr>
          </w:p>
        </w:tc>
        <w:tc>
          <w:tcPr>
            <w:tcW w:w="22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1655 ROBERTS BLVD NW</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40" w:type="dxa"/>
            <w:vAlign w:val="bottom"/>
            <w:tcBorders>
              <w:bottom w:val="single" w:sz="8" w:color="2C2C2C"/>
            </w:tcBorders>
          </w:tcPr>
          <w:p>
            <w:pPr>
              <w:spacing w:after="0"/>
              <w:rPr>
                <w:sz w:val="12"/>
                <w:szCs w:val="12"/>
                <w:color w:val="auto"/>
              </w:rPr>
            </w:pPr>
          </w:p>
        </w:tc>
        <w:tc>
          <w:tcPr>
            <w:tcW w:w="22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40" w:type="dxa"/>
            <w:vAlign w:val="bottom"/>
            <w:gridSpan w:val="2"/>
            <w:vMerge w:val="continue"/>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406"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KENNESAW</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30144</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40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95"/>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J</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6,325</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center"/>
              <w:ind w:left="31"/>
              <w:spacing w:after="0"/>
              <w:rPr>
                <w:sz w:val="20"/>
                <w:szCs w:val="20"/>
                <w:color w:val="auto"/>
              </w:rPr>
            </w:pPr>
            <w:r>
              <w:rPr>
                <w:rFonts w:ascii="Times New Roman" w:cs="Times New Roman" w:eastAsia="Times New Roman" w:hAnsi="Times New Roman"/>
                <w:sz w:val="17"/>
                <w:szCs w:val="17"/>
                <w:color w:val="0000FF"/>
              </w:rPr>
              <w:t>40,635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Stacie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Nelson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J</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w w:val="97"/>
              </w:rPr>
              <w:t>6,325</w:t>
            </w:r>
            <w:r>
              <w:rPr>
                <w:rFonts w:ascii="Times New Roman" w:cs="Times New Roman" w:eastAsia="Times New Roman" w:hAnsi="Times New Roman"/>
                <w:sz w:val="22"/>
                <w:szCs w:val="22"/>
                <w:color w:val="008000"/>
                <w:w w:val="97"/>
                <w:vertAlign w:val="superscript"/>
              </w:rPr>
              <w:t>(1)</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18"/>
                <w:szCs w:val="18"/>
                <w:color w:val="auto"/>
              </w:rPr>
            </w:pPr>
          </w:p>
        </w:tc>
        <w:tc>
          <w:tcPr>
            <w:tcW w:w="38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gridSpan w:val="3"/>
            <w:vMerge w:val="restart"/>
          </w:tcPr>
          <w:p>
            <w:pPr>
              <w:jc w:val="center"/>
              <w:ind w:left="31"/>
              <w:spacing w:after="0"/>
              <w:rPr>
                <w:sz w:val="20"/>
                <w:szCs w:val="20"/>
                <w:color w:val="auto"/>
              </w:rPr>
            </w:pPr>
            <w:r>
              <w:rPr>
                <w:rFonts w:ascii="Times New Roman" w:cs="Times New Roman" w:eastAsia="Times New Roman" w:hAnsi="Times New Roman"/>
                <w:sz w:val="17"/>
                <w:szCs w:val="17"/>
                <w:color w:val="0000FF"/>
              </w:rPr>
              <w:t>6,325</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and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Anthony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Semedo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vMerge w:val="restart"/>
          </w:tcPr>
          <w:p>
            <w:pPr>
              <w:jc w:val="center"/>
              <w:ind w:right="417"/>
              <w:spacing w:after="0"/>
              <w:rPr>
                <w:sz w:val="20"/>
                <w:szCs w:val="20"/>
                <w:color w:val="auto"/>
              </w:rPr>
            </w:pPr>
            <w:r>
              <w:rPr>
                <w:rFonts w:ascii="Times New Roman" w:cs="Times New Roman" w:eastAsia="Times New Roman" w:hAnsi="Times New Roman"/>
                <w:sz w:val="17"/>
                <w:szCs w:val="17"/>
                <w:color w:val="0000FF"/>
              </w:rPr>
              <w:t>600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transfer of shares from the Reporting Person's directly held account to an account held by the Stacie Nelson and Anthony Semedo Living Trust. The transfer was made for estate planning purposes, involved no sale or other disposition for value, and resulted only in a change in the form of beneficial ownership from direct to indirect.</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common stock are held of record by the Stacie Nelson and Anthony Semedo Living Trust, a revocable living trust for the benefit of the Reporting Person and his spouse. The Reporting Person and his spouse are trustees of the trust and may be deemed to beneficially own such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common stock are held of record by the spouse of the Reporting Person.</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Anthony B. Semedo</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06/04/2026</w:t>
            </w:r>
          </w:p>
        </w:tc>
      </w:tr>
      <w:tr>
        <w:trPr>
          <w:trHeight w:val="20"/>
        </w:trPr>
        <w:tc>
          <w:tcPr>
            <w:tcW w:w="1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0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6324" TargetMode="External"/><Relationship Id="rId14" Type="http://schemas.openxmlformats.org/officeDocument/2006/relationships/hyperlink" Target="http://www.sec.gov/cgi-bin/browse-edgar?action=getcompany&amp;CIK=00007841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2026-06-04T15:51:48Z</dcterms:created>
  <dcterms:modified xsi:type="dcterms:W3CDTF">2026-06-04T15:51:48Z</dcterms:modified>
</cp:coreProperties>
</file>