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pPr>
      <w:r>
        <w:rPr>
          <w:rFonts w:ascii="Times New Roman;serif" w:hAnsi="Times New Roman;serif"/>
          <w:b/>
          <w:color w:val="000000"/>
          <w:sz w:val="24"/>
        </w:rPr>
        <w:t>W</w:t>
      </w:r>
      <w:r>
        <w:rPr>
          <w:rFonts w:ascii="Times New Roman;serif" w:hAnsi="Times New Roman;serif"/>
          <w:b/>
          <w:color w:val="000000"/>
          <w:sz w:val="18"/>
        </w:rPr>
        <w:t>ASHINGTON</w:t>
      </w:r>
      <w:r>
        <w:rPr>
          <w:rFonts w:ascii="Times New Roman;serif" w:hAnsi="Times New Roman;serif"/>
          <w:b/>
          <w:color w:val="000000"/>
          <w:sz w:val="22"/>
        </w:rPr>
        <w:t>,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w:t>
      </w:r>
    </w:p>
    <w:p>
      <w:pPr>
        <w:pStyle w:val="TextBody"/>
        <w:bidi w:val="0"/>
        <w:spacing w:lineRule="auto" w:line="288" w:before="16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November 5, 2026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w:t>
      </w:r>
    </w:p>
    <w:p>
      <w:pPr>
        <w:pStyle w:val="TextBody"/>
        <w:bidi w:val="0"/>
        <w:spacing w:lineRule="auto" w:line="288" w:before="160" w:after="283"/>
        <w:jc w:val="center"/>
        <w:rPr>
          <w:rFonts w:ascii="Times New Roman;serif" w:hAnsi="Times New Roman;serif"/>
          <w:b/>
          <w:color w:val="000000"/>
          <w:sz w:val="28"/>
        </w:rPr>
      </w:pPr>
      <w:r>
        <w:rPr>
          <w:rFonts w:ascii="Times New Roman;serif" w:hAnsi="Times New Roman;serif"/>
          <w:b/>
          <w:color w:val="000000"/>
          <w:sz w:val="28"/>
        </w:rPr>
        <w:t>ARTIVION,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w:t>
      </w:r>
    </w:p>
    <w:tbl>
      <w:tblPr>
        <w:tblW w:w="7153" w:type="dxa"/>
        <w:jc w:val="left"/>
        <w:tblInd w:w="0" w:type="dxa"/>
        <w:tblLayout w:type="fixed"/>
        <w:tblCellMar>
          <w:top w:w="28" w:type="dxa"/>
          <w:left w:w="28" w:type="dxa"/>
          <w:bottom w:w="28" w:type="dxa"/>
          <w:right w:w="28" w:type="dxa"/>
        </w:tblCellMar>
      </w:tblPr>
      <w:tblGrid>
        <w:gridCol w:w="949"/>
        <w:gridCol w:w="833"/>
        <w:gridCol w:w="842"/>
        <w:gridCol w:w="882"/>
        <w:gridCol w:w="882"/>
        <w:gridCol w:w="890"/>
        <w:gridCol w:w="548"/>
        <w:gridCol w:w="548"/>
        <w:gridCol w:w="779"/>
      </w:tblGrid>
      <w:tr>
        <w:tc>
          <w:tcPr>
            <w:tcW w:w="94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1-13165</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59-2417093</w:t>
            </w:r>
          </w:p>
        </w:tc>
      </w:tr>
      <w:t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(State or Other Jurisdiction</w:t>
              <w:br/>
              <w:t>of Incorporation)</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(Commission File Number)</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(IRS Employer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Identification No.)</w:t>
            </w:r>
          </w:p>
        </w:tc>
      </w:tr>
    </w:tbl>
    <w:tbl>
      <w:tblPr>
        <w:tblW w:w="6701" w:type="dxa"/>
        <w:jc w:val="center"/>
        <w:tblInd w:w="0" w:type="dxa"/>
        <w:tblLayout w:type="fixed"/>
        <w:tblCellMar>
          <w:top w:w="28" w:type="dxa"/>
          <w:left w:w="28" w:type="dxa"/>
          <w:bottom w:w="28" w:type="dxa"/>
          <w:right w:w="28" w:type="dxa"/>
        </w:tblCellMar>
      </w:tblPr>
      <w:tblGrid>
        <w:gridCol w:w="1885"/>
        <w:gridCol w:w="1655"/>
        <w:gridCol w:w="1664"/>
        <w:gridCol w:w="109"/>
        <w:gridCol w:w="109"/>
        <w:gridCol w:w="109"/>
        <w:gridCol w:w="343"/>
        <w:gridCol w:w="343"/>
        <w:gridCol w:w="484"/>
      </w:tblGrid>
      <w:tr>
        <w:tc>
          <w:tcPr>
            <w:tcW w:w="1885"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c>
          <w:tcPr>
            <w:tcW w:w="52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1655 Roberts Boulevard, N.W., Kennesaw,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30144</w:t>
            </w:r>
          </w:p>
        </w:tc>
      </w:tr>
      <w:t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Registrant’s telephone number, including area code: (770) 419-3355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___________________________________________________________________________________</w:t>
      </w:r>
    </w:p>
    <w:p>
      <w:pPr>
        <w:pStyle w:val="TextBody"/>
        <w:bidi w:val="0"/>
        <w:spacing w:lineRule="auto" w:line="288" w:before="160" w:after="283"/>
        <w:jc w:val="both"/>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 (see General Instruction A.2.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5"/>
        <w:gridCol w:w="2875"/>
        <w:gridCol w:w="408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Written communications pursuant to Rule 425 under the Securities Act (17 CFR 230.425)</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Soliciting material pursuant to Rule 14a-12 under the Exchange Act (17 CFR 240.14a-12)</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Pre-commencement communications pursuant to Rule 14d-2(b) under the Exchange Act (17 CFR 240.14d-2(b))</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Pre-commencement communications pursuant to Rule 13e-4(c) under the Exchange Act (17 CFR 240.13e-4(c))</w:t>
            </w:r>
          </w:p>
        </w:tc>
      </w:tr>
    </w:tbl>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Securities registered pursuant to Section 12(b) of the Act:</w:t>
      </w:r>
    </w:p>
    <w:tbl>
      <w:tblPr>
        <w:tblW w:w="7603" w:type="dxa"/>
        <w:jc w:val="left"/>
        <w:tblInd w:w="0" w:type="dxa"/>
        <w:tblLayout w:type="fixed"/>
        <w:tblCellMar>
          <w:top w:w="28" w:type="dxa"/>
          <w:left w:w="28" w:type="dxa"/>
          <w:bottom w:w="28" w:type="dxa"/>
          <w:right w:w="28" w:type="dxa"/>
        </w:tblCellMar>
      </w:tblPr>
      <w:tblGrid>
        <w:gridCol w:w="1145"/>
        <w:gridCol w:w="1004"/>
        <w:gridCol w:w="1016"/>
        <w:gridCol w:w="639"/>
        <w:gridCol w:w="639"/>
        <w:gridCol w:w="641"/>
        <w:gridCol w:w="737"/>
        <w:gridCol w:w="737"/>
        <w:gridCol w:w="1045"/>
      </w:tblGrid>
      <w:tr>
        <w:tc>
          <w:tcPr>
            <w:tcW w:w="114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Title of each class</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Trading Symbol(s)</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 xml:space="preserve">Name of each exchange </w:t>
              <w:br/>
              <w:t>on which registered</w:t>
            </w:r>
          </w:p>
        </w:tc>
      </w:tr>
      <w:t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 $0.01 par value</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AORT</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NYSE</w:t>
            </w:r>
          </w:p>
        </w:tc>
      </w:tr>
    </w:tbl>
    <w:p>
      <w:pPr>
        <w:pStyle w:val="TextBody"/>
        <w:bidi w:val="0"/>
        <w:spacing w:lineRule="auto" w:line="288" w:before="16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60" w:after="283"/>
        <w:jc w:val="both"/>
      </w:pPr>
      <w:r>
        <w:rPr>
          <w:rFonts w:ascii="Times New Roman;serif" w:hAnsi="Times New Roman;serif"/>
          <w:b w:val="false"/>
          <w:color w:val="000000"/>
          <w:sz w:val="22"/>
        </w:rPr>
        <w:t xml:space="preserve">Emerging growth company </w:t>
      </w:r>
      <w:r>
        <w:rPr>
          <w:color w:val="000000"/>
        </w:rPr>
        <w:t>☐</w:t>
      </w:r>
    </w:p>
    <w:p>
      <w:pPr>
        <w:pStyle w:val="TextBody"/>
        <w:bidi w:val="0"/>
        <w:spacing w:lineRule="auto" w:line="288" w:before="160" w:after="283"/>
        <w:jc w:val="both"/>
      </w:pPr>
      <w:r>
        <w:rPr>
          <w:rFonts w:ascii="Times New Roman;serif" w:hAnsi="Times New Roman;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Item 2.02    Results of Operations and Financial Condition.</w:t>
      </w:r>
    </w:p>
    <w:p>
      <w:pPr>
        <w:pStyle w:val="TextBody"/>
        <w:bidi w:val="0"/>
        <w:spacing w:before="0" w:after="0"/>
        <w:ind w:left="0" w:right="0" w:firstLine="720"/>
        <w:jc w:val="left"/>
      </w:p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 November 5, 2026, Artivion, Inc. (“Artivion”) issued a press release announcing its financial results for the third quarter ended September 30, 2026. Artivion hereby incorporates by reference herein the information set forth in its press release dated November 5, 2026, a copy of which is attached hereto as Exhibit 99.1. Except as otherwise provided in the press release, the press release speaks only as of the date of such press release and it shall not create any implication that the affairs of Artivion have continued unchanged since such date.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information provided pursuant to this Item 2.02, including Exhibit 99.1 attached hereto, is to be considered “furnished” pursuant to Item 2.02 of Form 8-K and shall not be deemed to be “filed” for purposes of Section 18 of the Securities Exchange Act of 1934, as amended, or otherwise subject to the liabilities of that Section or Sections 11 and 12(a)(2) of the Securities Act of 1933, as amended, nor shall it be deemed incorporated by reference into any of Artivion’s reports or filings with the Securities and Exchange Commission (the “SEC”), whether made before or after the date hereof, except as expressly set forth by specific reference in such report or filing.</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for the historical information contained in this report, the statements made by Artivion are forward-looking statements that involve risks and uncertainties. All such statements are subject to the safe harbor created by the Private Securities Litigation Reform Act of 1995. Artivion’s future financial performance could differ significantly from the expectations of management and from results expressed or implied in the press release. Please refer to the last paragraph of the text portion of the press release for further discussion about forward-looking statements. For further information on risk factors, please refer to “Risk Factors” contained in Artivion’s most recently filed Form 10-K and its subsequent filings with the SEC, as well as in the press release attached as Exhibit 99.1 hereto. Artivion disclaims any obligation or duty to update or modify these forward-looking statements.</w:t>
      </w:r>
    </w:p>
    <w:p>
      <w:pPr>
        <w:pStyle w:val="TextBody"/>
        <w:bidi w:val="0"/>
        <w:spacing w:lineRule="auto" w:line="268" w:before="240" w:after="283"/>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Item 9.01    Financial Statements and Exhibits.</w:t>
      </w:r>
    </w:p>
    <w:p>
      <w:pPr>
        <w:pStyle w:val="TextBody"/>
        <w:bidi w:val="0"/>
        <w:spacing w:lineRule="auto" w:line="288" w:before="240" w:after="283"/>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(d)Exhibits.</w:t>
      </w:r>
    </w:p>
    <w:tbl>
      <w:tblPr>
        <w:tblW w:w="8173" w:type="dxa"/>
        <w:jc w:val="left"/>
        <w:tblInd w:w="0" w:type="dxa"/>
        <w:tblLayout w:type="fixed"/>
        <w:tblCellMar>
          <w:top w:w="28" w:type="dxa"/>
          <w:left w:w="28" w:type="dxa"/>
          <w:bottom w:w="28" w:type="dxa"/>
          <w:right w:w="28" w:type="dxa"/>
        </w:tblCellMar>
      </w:tblPr>
      <w:tblGrid>
        <w:gridCol w:w="587"/>
        <w:gridCol w:w="515"/>
        <w:gridCol w:w="517"/>
        <w:gridCol w:w="1917"/>
        <w:gridCol w:w="1917"/>
        <w:gridCol w:w="2720"/>
      </w:tblGrid>
      <w:t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Exhibit Number</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Description</w:t>
            </w:r>
          </w:p>
        </w:tc>
      </w:tr>
      <w:tr>
        <w:tc>
          <w:tcPr>
            <w:tcW w:w="1619" w:type="dxa"/>
            <w:gridSpan w:val="3"/>
            <w:tcBorders/>
            <w:tcMar>
              <w:top w:w="0" w:type="dxa"/>
              <w:left w:w="0" w:type="dxa"/>
              <w:bottom w:w="0" w:type="dxa"/>
              <w:right w:w="0" w:type="dxa"/>
            </w:tcMar>
            <w:vAlign w:val="center"/>
          </w:tcPr>
          <w:p>
            <w:pPr>
              <w:pStyle w:val="TableContents"/>
              <w:bidi w:val="0"/>
              <w:spacing w:lineRule="auto" w:line="300" w:before="0" w:after="0"/>
              <w:jc w:val="left"/>
            </w:pPr>
            <w:hyperlink w:anchor="aort-2026x8k093026ex991.htm">
              <w:r>
                <w:rPr>
                  <w:rStyle w:val="InternetLink"/>
                  <w:rFonts w:ascii="Times New Roman;serif" w:hAnsi="Times New Roman;serif"/>
                  <w:b w:val="false"/>
                  <w:color w:val="0000FF"/>
                  <w:sz w:val="22"/>
                </w:rPr>
                <w:t>99.1</w:t>
              </w:r>
            </w:hyperlink>
          </w:p>
        </w:tc>
        <w:tc>
          <w:tcPr>
            <w:tcW w:w="65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Press Release dated November 5, 2026.</w:t>
            </w:r>
          </w:p>
        </w:tc>
      </w:tr>
      <w:tr>
        <w:tc>
          <w:tcPr>
            <w:tcW w:w="16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for the cover page of this Current Report on Form 8-K.</w:t>
            </w:r>
          </w:p>
        </w:tc>
      </w:tr>
    </w:tbl>
    <w:p>
      <w:pPr>
        <w:pStyle w:val="TextBody"/>
        <w:bidi w:val="0"/>
        <w:spacing w:before="240" w:after="283"/>
        <w:jc w:val="left"/>
      </w:pPr>
      <w:r/>
    </w:p>
    <w:p>
      <w:pPr>
        <w:pStyle w:val="TextBody"/>
        <w:bidi w:val="0"/>
        <w:spacing w:before="240" w:after="283"/>
        <w:ind w:left="0" w:right="0" w:firstLine="18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929292"/>
                                <w:sz w:val="22"/>
                              </w:rPr>
                            </w:pPr>
                            <w:r>
                              <w:rPr>
                                <w:rFonts w:ascii="Times New Roman;serif" w:hAnsi="Times New Roman;serif"/>
                                <w:b w:val="false"/>
                                <w:color w:val="929292"/>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929292"/>
                          <w:sz w:val="22"/>
                        </w:rPr>
                      </w:pPr>
                      <w:r>
                        <w:rPr>
                          <w:rFonts w:ascii="Times New Roman;serif" w:hAnsi="Times New Roman;serif"/>
                          <w:b w:val="false"/>
                          <w:color w:val="929292"/>
                          <w:sz w:val="22"/>
                        </w:rPr>
                        <w:t>-2-</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Artivion, Inc. has duly caused this report to be signed on its behalf by the undersigned hereunto duly authorized.</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Date: November 5, 2026</w:t>
      </w:r>
    </w:p>
    <w:tbl>
      <w:tblPr>
        <w:tblW w:w="9633" w:type="dxa"/>
        <w:jc w:val="left"/>
        <w:tblInd w:w="0" w:type="dxa"/>
        <w:tblLayout w:type="fixed"/>
        <w:tblCellMar>
          <w:top w:w="28" w:type="dxa"/>
          <w:left w:w="28" w:type="dxa"/>
          <w:bottom w:w="28" w:type="dxa"/>
          <w:right w:w="28" w:type="dxa"/>
        </w:tblCellMar>
      </w:tblPr>
      <w:tblGrid>
        <w:gridCol w:w="124"/>
        <w:gridCol w:w="109"/>
        <w:gridCol w:w="109"/>
        <w:gridCol w:w="282"/>
        <w:gridCol w:w="282"/>
        <w:gridCol w:w="282"/>
        <w:gridCol w:w="2461"/>
        <w:gridCol w:w="2461"/>
        <w:gridCol w:w="352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ARTIVION, INC.</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8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Lance A. Berry</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8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Lance A. Berry</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8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Operating Officer, Chief Financial Officer and Treasurer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929292"/>
                          <w:sz w:val="22"/>
                        </w:rPr>
                      </w:pPr>
                      <w:r>
                        <w:rPr>
                          <w:rFonts w:ascii="Times New Roman;serif" w:hAnsi="Times New Roman;serif"/>
                          <w:b w:val="false"/>
                          <w:color w:val="929292"/>
                          <w:sz w:val="22"/>
                        </w:rPr>
                        <w:t>-3-</w:t>
                      </w:r>
                    </w:p>
                  </w:txbxContent>
                </v:textbox>
                <w10:wrap type="none"/>
              </v:rect>
            </w:pict>
          </mc:Fallback>
        </mc:AlternateContent>
      </w:r>
    </w:p>
    <w:p>
      <w:pPr>
        <w:pStyle w:val="TextBody"/>
        <w:bidi w:val="0"/>
        <w:spacing w:before="240" w:after="283"/>
        <w:jc w:val="center"/>
      </w:pPr>
      <w:r>
        <w:drawing>
          <wp:inline distT="0" distB="0" distL="0" distR="0">
            <wp:extent cx="2381250" cy="762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81250" cy="762000"/>
                    </a:xfrm>
                    <a:prstGeom prst="rect">
                      <a:avLst/>
                    </a:prstGeom>
                  </pic:spPr>
                </pic:pic>
              </a:graphicData>
            </a:graphic>
          </wp:inline>
        </w:drawing>
      </w:r>
    </w:p>
    <w:p>
      <w:pPr>
        <w:pStyle w:val="TextBody"/>
        <w:bidi w:val="0"/>
        <w:spacing w:before="0" w:after="0"/>
        <w:jc w:val="left"/>
      </w:pPr>
      <w:r/>
    </w:p>
    <w:p>
      <w:pPr>
        <w:pStyle w:val="TextBody"/>
        <w:bidi w:val="0"/>
        <w:spacing w:lineRule="auto" w:line="288" w:before="0" w:after="0"/>
        <w:jc w:val="left"/>
        <w:rPr>
          <w:rFonts w:ascii="Times New Roman;serif" w:hAnsi="Times New Roman;serif"/>
          <w:b/>
          <w:i/>
          <w:color w:val="000000"/>
          <w:sz w:val="24"/>
        </w:rPr>
      </w:pPr>
      <w:r>
        <w:rPr>
          <w:rFonts w:ascii="Times New Roman;serif" w:hAnsi="Times New Roman;serif"/>
          <w:b/>
          <w:i/>
          <w:color w:val="000000"/>
          <w:sz w:val="24"/>
        </w:rPr>
        <w:t>FOR IMMEDIATE RELEASE</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3"/>
        </w:rPr>
      </w:pPr>
      <w:r>
        <w:rPr>
          <w:rFonts w:ascii="Times New Roman;serif" w:hAnsi="Times New Roman;serif"/>
          <w:b/>
          <w:color w:val="000000"/>
          <w:sz w:val="23"/>
        </w:rPr>
        <w:t>Contacts:</w:t>
      </w:r>
    </w:p>
    <w:tbl>
      <w:tblPr>
        <w:tblW w:w="4966" w:type="dxa"/>
        <w:jc w:val="left"/>
        <w:tblInd w:w="0" w:type="dxa"/>
        <w:tblLayout w:type="fixed"/>
        <w:tblCellMar>
          <w:top w:w="28" w:type="dxa"/>
          <w:left w:w="28" w:type="dxa"/>
          <w:bottom w:w="28" w:type="dxa"/>
          <w:right w:w="28" w:type="dxa"/>
        </w:tblCellMar>
      </w:tblPr>
      <w:tblGrid>
        <w:gridCol w:w="934"/>
        <w:gridCol w:w="821"/>
        <w:gridCol w:w="825"/>
        <w:gridCol w:w="697"/>
        <w:gridCol w:w="697"/>
        <w:gridCol w:w="992"/>
      </w:tblGrid>
      <w:t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3"/>
              </w:rPr>
            </w:pPr>
            <w:r>
              <w:rPr>
                <w:rFonts w:ascii="Times New Roman;serif" w:hAnsi="Times New Roman;serif"/>
                <w:b/>
                <w:color w:val="000000"/>
                <w:sz w:val="23"/>
              </w:rPr>
              <w:t>Artivion</w:t>
            </w:r>
          </w:p>
        </w:tc>
        <w:tc>
          <w:tcPr>
            <w:tcW w:w="23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3"/>
              </w:rPr>
            </w:pPr>
            <w:r>
              <w:rPr>
                <w:rFonts w:ascii="Times New Roman;serif" w:hAnsi="Times New Roman;serif"/>
                <w:b/>
                <w:color w:val="000000"/>
                <w:sz w:val="23"/>
              </w:rPr>
              <w:t>Gilmartin Group LLC</w:t>
            </w:r>
          </w:p>
        </w:tc>
      </w:tr>
      <w:t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Lance A. Berry</w:t>
            </w:r>
          </w:p>
        </w:tc>
        <w:tc>
          <w:tcPr>
            <w:tcW w:w="23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 xml:space="preserve">Brian Johnston </w:t>
            </w:r>
          </w:p>
        </w:tc>
      </w:tr>
      <w:t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Executive Vice President,</w:t>
            </w:r>
          </w:p>
        </w:tc>
        <w:tc>
          <w:tcPr>
            <w:tcW w:w="23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Phone: 332-895-3222</w:t>
            </w:r>
          </w:p>
        </w:tc>
      </w:tr>
      <w:t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Chief Operating Officer &amp;</w:t>
            </w:r>
          </w:p>
        </w:tc>
        <w:tc>
          <w:tcPr>
            <w:tcW w:w="238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investors@artivion.com</w:t>
            </w:r>
          </w:p>
        </w:tc>
      </w:tr>
      <w:t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Chief Financial Officer</w:t>
            </w:r>
          </w:p>
        </w:tc>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3"/>
              </w:rPr>
            </w:pPr>
            <w:r>
              <w:rPr>
                <w:rFonts w:ascii="Times New Roman;serif" w:hAnsi="Times New Roman;serif"/>
                <w:b w:val="false"/>
                <w:color w:val="000000"/>
                <w:sz w:val="23"/>
              </w:rPr>
              <w:t>Phone: 770-419-3355</w:t>
            </w:r>
          </w:p>
        </w:tc>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Artivion Reports Third Quarter 2026 Financial Results </w:t>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3"/>
        </w:rPr>
      </w:pPr>
      <w:r>
        <w:rPr>
          <w:rFonts w:ascii="Times New Roman;serif" w:hAnsi="Times New Roman;serif"/>
          <w:b/>
          <w:color w:val="000000"/>
          <w:sz w:val="23"/>
        </w:rPr>
        <w:t xml:space="preserve">Third Quarter &amp; Recent Business Highlights: </w:t>
      </w:r>
    </w:p>
    <w:p>
      <w:pPr>
        <w:pStyle w:val="TextBody"/>
        <w:bidi w:val="0"/>
        <w:spacing w:before="0" w:after="0"/>
        <w:jc w:val="left"/>
      </w:pPr>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3"/>
        </w:rPr>
        <w:t xml:space="preserve">Achieved revenue of $123.8 million in the third quarter of 2026 versus $113.4 million in the third quarter of 2025, an increase of 9% on a GAAP basis and 9% on a non-GAAP constant currency basis </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3"/>
        </w:rPr>
        <w:t>Net loss for the third quarter of 2026 was $(7.9) million, or $(0.16) per fully diluted share, and non-GAAP net income was $3.8 million, or $0.08 per fully diluted share</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3"/>
        </w:rPr>
        <w:t>Adjusted EBITDA declined 8% to $22.5 million in the third quarter of 2026 compared to $24.6 million in the third quarter of 2025</w:t>
      </w:r>
    </w:p>
    <w:p>
      <w:pPr>
        <w:pStyle w:val="TextBody"/>
        <w:bidi w:val="0"/>
        <w:spacing w:before="0" w:after="0"/>
        <w:jc w:val="both"/>
      </w:pPr>
      <w:r/>
    </w:p>
    <w:p>
      <w:pPr>
        <w:pStyle w:val="TextBody"/>
        <w:bidi w:val="0"/>
        <w:spacing w:before="0" w:after="0"/>
        <w:jc w:val="left"/>
      </w:pPr>
      <w:r/>
    </w:p>
    <w:p>
      <w:pPr>
        <w:pStyle w:val="TextBody"/>
        <w:bidi w:val="0"/>
        <w:spacing w:lineRule="auto" w:line="276" w:before="0" w:after="0"/>
        <w:jc w:val="both"/>
      </w:pPr>
      <w:r>
        <w:rPr>
          <w:rFonts w:ascii="Times New Roman;serif" w:hAnsi="Times New Roman;serif"/>
          <w:b/>
          <w:color w:val="000000"/>
          <w:sz w:val="23"/>
        </w:rPr>
        <w:t>ATLANTA, GA – (November 5, 2026) – Artivion, Inc. (NYSE: AORT),</w:t>
      </w:r>
      <w:r>
        <w:rPr>
          <w:color w:val="000000"/>
        </w:rPr>
        <w:t xml:space="preserve"> </w:t>
      </w:r>
      <w:r>
        <w:rPr>
          <w:rFonts w:ascii="Times New Roman;serif" w:hAnsi="Times New Roman;serif"/>
          <w:b w:val="false"/>
          <w:color w:val="000000"/>
          <w:sz w:val="23"/>
        </w:rPr>
        <w:t>a leading cardiac and vascular surgery company focused on aortic disease, today announced financial results for the third quarter ended September 30, 2026.</w:t>
      </w:r>
    </w:p>
    <w:p>
      <w:pPr>
        <w:pStyle w:val="TextBody"/>
        <w:bidi w:val="0"/>
        <w:spacing w:before="0" w:after="0"/>
        <w:jc w:val="both"/>
      </w:p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3"/>
        </w:rPr>
        <w:t>In the third quarter of 2026, we delivered 9% constant currency revenue growth, reflecting continued execution of our strategy to drive long-term, profitable growth through an expanding and clinically differentiated product portfolio. Revenue growth was led by On-X, which grew 13% on a constant currency basis compared to the third quarter of 2025. Stent grafts revenue grew 12% for the second consecutive quarter, despite a tougher AMDS prior year comparison,” said Pat Mackin, Chairman, President, and Chief Executive Officer.</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3"/>
        </w:rPr>
      </w:pPr>
      <w:r>
        <w:rPr>
          <w:rFonts w:ascii="Times New Roman;serif" w:hAnsi="Times New Roman;serif"/>
          <w:b w:val="false"/>
          <w:color w:val="000000"/>
          <w:sz w:val="23"/>
        </w:rPr>
        <w:t>Mr. Mackin continued, “The number of U.S. AMDS implants increased from the second quarter, which we believe reflects the impact of our recent PMA approval and our efforts to drive adoption of this new technology. Preparations for the U.S. commercial launch of NEXUS in January 2027 are progressing well, and we look forward to our first surgeon training event in December. We also exited the quarter in a strong supply position for On-X following our investments in our Austin manufacturing facility, and ARTIZEN, our clinical trial for ARCEVO LSA, continues to enroll on schedule.”</w:t>
      </w:r>
    </w:p>
    <w:p>
      <w:pPr>
        <w:pStyle w:val="TextBody"/>
        <w:bidi w:val="0"/>
        <w:spacing w:before="0" w:after="283"/>
        <w:jc w:val="left"/>
      </w:pPr>
      <w:r/>
    </w:p>
    <w:p>
      <w:pPr>
        <w:pStyle w:val="TextBody"/>
        <w:bidi w:val="0"/>
        <w:spacing w:before="0" w:after="0"/>
        <w:jc w:val="righ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 of 11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3"/>
        </w:rPr>
      </w:pPr>
      <w:r>
        <w:rPr>
          <w:rFonts w:ascii="Times New Roman;serif" w:hAnsi="Times New Roman;serif"/>
          <w:b w:val="false"/>
          <w:color w:val="000000"/>
          <w:sz w:val="23"/>
        </w:rPr>
        <w:t>Mr. Mackin concluded, “Overall, we are encouraged by our third quarter performance and the progress we have made so far in 2026. With the recent PMAs of AMDS and NEXUS in the U.S., and ARCEVO LSA on track with enrollment in the ARTIZEN IDE trial, we believe we are on track to being the only company with a comprehensive aortic arch portfolio, which represents an approximately $330 million annual U.S. market opportunity.”</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3"/>
        </w:rPr>
      </w:pPr>
      <w:r>
        <w:rPr>
          <w:rFonts w:ascii="Times New Roman;serif" w:hAnsi="Times New Roman;serif"/>
          <w:b/>
          <w:color w:val="000000"/>
          <w:sz w:val="23"/>
        </w:rPr>
        <w:t>Third Quarter 2026 Financial Results</w:t>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Total revenues for the third quarter of 2026 were $123.8 million, an increase of 9% on a GAAP basis and 9% on a non-GAAP constant currency basis, both compared to the third quarter of 2025.</w:t>
      </w:r>
    </w:p>
    <w:p>
      <w:pPr>
        <w:pStyle w:val="TextBody"/>
        <w:bidi w:val="0"/>
        <w:spacing w:before="0" w:after="0"/>
        <w:jc w:val="left"/>
      </w:pPr>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Net loss for the third quarter of 2026 was $(7.9) million, or $(0.16) per fully diluted common share, compared to net income of $6.5 million, or $0.13 per fully diluted common share for the third quarter of 2025. Non-GAAP net income for the third quarter of 2026 was $3.8 million, or $0.08 per fully diluted common share, compared to non-GAAP net income of $7.9 million, or $0.16 per fully diluted common share, for the third quarter of 2025. Non-GAAP net income for the third quarter of 2026 includes pretax losses related to foreign currency revaluation of $0.6 million.</w:t>
      </w:r>
    </w:p>
    <w:p>
      <w:pPr>
        <w:pStyle w:val="TextBody"/>
        <w:bidi w:val="0"/>
        <w:spacing w:before="0" w:after="0"/>
        <w:jc w:val="left"/>
      </w:pPr>
      <w:r/>
    </w:p>
    <w:p>
      <w:pPr>
        <w:pStyle w:val="TextBody"/>
        <w:bidi w:val="0"/>
        <w:spacing w:lineRule="auto" w:line="288" w:before="0" w:after="0"/>
        <w:jc w:val="both"/>
        <w:rPr>
          <w:rFonts w:ascii="Times New Roman;serif" w:hAnsi="Times New Roman;serif"/>
          <w:b/>
          <w:color w:val="000000"/>
          <w:sz w:val="23"/>
        </w:rPr>
      </w:pPr>
      <w:r>
        <w:rPr>
          <w:rFonts w:ascii="Times New Roman;serif" w:hAnsi="Times New Roman;serif"/>
          <w:b/>
          <w:color w:val="000000"/>
          <w:sz w:val="23"/>
        </w:rPr>
        <w:t>2026 Financial Outlook</w:t>
      </w:r>
    </w:p>
    <w:p>
      <w:pPr>
        <w:pStyle w:val="TextBody"/>
        <w:bidi w:val="0"/>
        <w:spacing w:lineRule="auto" w:line="276" w:before="0" w:after="0"/>
        <w:jc w:val="both"/>
      </w:pPr>
      <w:r>
        <w:rPr>
          <w:rFonts w:ascii="Times New Roman;serif" w:hAnsi="Times New Roman;serif"/>
          <w:b w:val="false"/>
          <w:color w:val="000000"/>
          <w:sz w:val="23"/>
        </w:rPr>
        <w:t>Artivion has narrowed its expectations for the full year 2026 and now expects revenue to be in the range of $484 to $492 million, representing growth of 8% to 10% on an adjusted constant currency basis compared to 2025 adjusted revenue</w:t>
      </w:r>
      <w:r>
        <w:rPr>
          <w:rFonts w:ascii="Times New Roman;serif" w:hAnsi="Times New Roman;serif"/>
          <w:b w:val="false"/>
          <w:color w:val="000000"/>
          <w:sz w:val="13"/>
        </w:rPr>
        <w:t>1</w:t>
      </w:r>
      <w:r>
        <w:rPr>
          <w:rFonts w:ascii="Times New Roman;serif" w:hAnsi="Times New Roman;serif"/>
          <w:b w:val="false"/>
          <w:color w:val="000000"/>
          <w:sz w:val="20"/>
        </w:rPr>
        <w:t xml:space="preserve">. </w:t>
      </w:r>
      <w:r>
        <w:rPr>
          <w:rFonts w:ascii="Times New Roman;serif" w:hAnsi="Times New Roman;serif"/>
          <w:b w:val="false"/>
          <w:color w:val="000000"/>
          <w:sz w:val="23"/>
        </w:rPr>
        <w:t>This compares to the previous range of $480 to $496 million, representing growth of 7% to 11% on an adjusted constant currency basis compared to 2025 adjusted revenue</w:t>
      </w:r>
      <w:r>
        <w:rPr>
          <w:rFonts w:ascii="Times New Roman;serif" w:hAnsi="Times New Roman;serif"/>
          <w:b w:val="false"/>
          <w:color w:val="000000"/>
          <w:sz w:val="13"/>
        </w:rPr>
        <w:t>1</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3"/>
        </w:rPr>
        <w:t xml:space="preserve">This guidance contemplates a continued expectation for currency to represent an approximate one percentage point tailwind for the full year. </w:t>
      </w:r>
    </w:p>
    <w:p>
      <w:pPr>
        <w:pStyle w:val="TextBody"/>
        <w:bidi w:val="0"/>
        <w:spacing w:before="0" w:after="0"/>
        <w:jc w:val="left"/>
      </w:pPr>
      <w:r/>
    </w:p>
    <w:p>
      <w:pPr>
        <w:pStyle w:val="TextBody"/>
        <w:bidi w:val="0"/>
        <w:spacing w:lineRule="auto" w:line="276" w:before="0" w:after="0"/>
        <w:jc w:val="both"/>
      </w:pPr>
      <w:r>
        <w:rPr>
          <w:rFonts w:ascii="Times New Roman;serif" w:hAnsi="Times New Roman;serif"/>
          <w:b w:val="false"/>
          <w:color w:val="000000"/>
          <w:sz w:val="23"/>
        </w:rPr>
        <w:t>Artivion is narrowing its full year 2026 adjusted EBITDA to be in the range of $93 to $98 million. This compares to the previous range of $92 to $99 million. This guidance includes the previously articulated expectation to incur approximately $8 million of expense through the full year 2026 associated with the acquisition of Endospa</w:t>
      </w:r>
      <w:r>
        <w:rPr>
          <w:rFonts w:ascii="Times New Roman;serif" w:hAnsi="Times New Roman;serif"/>
          <w:b w:val="false"/>
          <w:color w:val="000000"/>
          <w:sz w:val="24"/>
        </w:rPr>
        <w:t>n, whic</w:t>
      </w:r>
      <w:r>
        <w:rPr>
          <w:rFonts w:ascii="Times New Roman;serif" w:hAnsi="Times New Roman;serif"/>
          <w:b w:val="false"/>
          <w:color w:val="000000"/>
          <w:sz w:val="23"/>
        </w:rPr>
        <w:t xml:space="preserve">h closed in May 2026.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3"/>
        </w:rPr>
      </w:pPr>
      <w:r>
        <w:rPr>
          <w:rFonts w:ascii="Times New Roman;serif" w:hAnsi="Times New Roman;serif"/>
          <w:b w:val="false"/>
          <w:color w:val="000000"/>
          <w:sz w:val="23"/>
        </w:rPr>
        <w:t>The Company’s financial performance for 2026 and future periods is subject to the risks identified below.</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pPr>
      <w:r>
        <w:rPr>
          <w:rFonts w:ascii="Times New Roman;serif" w:hAnsi="Times New Roman;serif"/>
          <w:b w:val="false"/>
          <w:color w:val="000000"/>
          <w:sz w:val="13"/>
        </w:rPr>
        <w:t xml:space="preserve">1 </w:t>
      </w:r>
      <w:r>
        <w:rPr>
          <w:rFonts w:ascii="Times New Roman;serif" w:hAnsi="Times New Roman;serif"/>
          <w:b w:val="false"/>
          <w:color w:val="000000"/>
          <w:sz w:val="20"/>
        </w:rPr>
        <w:t>Full year 2025 adjusted revenue excluded a $2.3 million reserve for estimated payback to the Italian government for fiscal years 2019 through 2025 as a result of legislation adopted in Italy that would require medical device manufacturers to repay previously paid amounts to the extent that such expenditures ostensibly exceed annual regional maximum ceilings. In the fourth quarter of 2025, the Company recorded a liability of $2.3 million as a reduction to revenue as an estimate of the amount that the Company may be required to repay for certain years after 2018. See “Non-GAAP Financial Measures” for important information about our use of non-GAAP measures.</w:t>
      </w:r>
    </w:p>
    <w:p>
      <w:pPr>
        <w:pStyle w:val="TextBody"/>
        <w:bidi w:val="0"/>
        <w:spacing w:before="0" w:after="0"/>
        <w:jc w:val="both"/>
      </w:pPr>
      <w:r/>
    </w:p>
    <w:p>
      <w:pPr>
        <w:pStyle w:val="TextBody"/>
        <w:bidi w:val="0"/>
        <w:spacing w:before="0" w:after="0"/>
        <w:jc w:val="both"/>
      </w:pPr>
      <w:r/>
    </w:p>
    <w:p>
      <w:pPr>
        <w:pStyle w:val="TextBody"/>
        <w:bidi w:val="0"/>
        <w:spacing w:lineRule="auto" w:line="268" w:before="0" w:after="0"/>
        <w:jc w:val="both"/>
      </w:pPr>
      <w:r>
        <w:rPr>
          <w:rFonts w:ascii="Times New Roman;serif" w:hAnsi="Times New Roman;serif"/>
          <w:b/>
          <w:color w:val="000000"/>
          <w:sz w:val="23"/>
        </w:rPr>
        <w:t>Non-GAAP Financial Measures</w:t>
      </w:r>
      <w:r>
        <w:rPr>
          <w:color w:val="000000"/>
        </w:rPr>
        <w:t xml:space="preserve"> </w:t>
      </w:r>
    </w:p>
    <w:p>
      <w:pPr>
        <w:pStyle w:val="TextBody"/>
        <w:bidi w:val="0"/>
        <w:spacing w:lineRule="auto" w:line="288"/>
        <w:jc w:val="both"/>
        <w:rPr>
          <w:rFonts w:ascii="Times New Roman;serif" w:hAnsi="Times New Roman;serif"/>
          <w:b w:val="false"/>
          <w:color w:val="000000"/>
          <w:sz w:val="23"/>
        </w:rPr>
      </w:pPr>
      <w:r>
        <w:rPr>
          <w:rFonts w:ascii="Times New Roman;serif" w:hAnsi="Times New Roman;serif"/>
          <w:b w:val="false"/>
          <w:color w:val="000000"/>
          <w:sz w:val="23"/>
        </w:rPr>
        <w:t>This press release contains non-GAAP financial measures, including non-GAAP adjusted revenue, non-GAAP net income, EBITDA, adjusted EBITDA, non-GAAP general, administrative, and marketing expenses, and free cash flows. Investors should consider this non-GAAP information in addition to, and not as a substitute for, financial measures prepared in accordance with US GAAP. In addition, this non-GAAP financial information may not be the same as similar measures presented by other companies. The Company’s non-GAAP adjusted constant currency growth rates compare current year revenues to prior period revenues adjusted for the impact of changes in currency exchange. The Company’s non-GAAP net income, EBITDA, adjusted EBITDA, general, administrative, and marketing, and free cash flows results primarily exclude (as applicable) depreciation and amortization expense, interest income and expense, non-cash compensation expense, loss or gain on foreign currency revaluation, income tax expense or benefit, expense/(income) for business development, integration, and severance, losses on inducement/extinguishment of debt, non-cash interest expense, capital expenditures, and other non-recurring items.</w:t>
      </w:r>
    </w:p>
    <w:p>
      <w:pPr>
        <w:pStyle w:val="TextBody"/>
        <w:bidi w:val="0"/>
        <w:spacing w:before="0" w:after="0"/>
        <w:jc w:val="righ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2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2 of 11</w:t>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The Company generally uses non-GAAP financial measures to facilitate management’s review of the operational performance of the Company and as a basis for strategic planning. Company management believes that these non-GAAP presentations provide useful information to investors regarding unusual non-operating transactions, the operating expense structure of the Company’s existing and acquired operations, without regard to its on-going efforts to acquire additional complementary products and businesses, and the transaction and integration expenses incurred in connection with recently acquired and divested product lines, and the operating expense structure excluding fluctuations resulting from foreign currency revaluation and non-cash compensation expense. The Company believes it is useful to exclude this revenue impact and certain expenses from non-GAAP financial measures because such amounts in any specific period may not directly correlate to the underlying performance of its business operations or can vary significantly between periods as a result of factors such as impact of recent acquisitions, non-cash expense related to depreciation and amortization of previously acquired tangible and intangible assets, and any related adjustments to their carrying values. The Company has adjusted for the impact of changes in currency exchange from certain revenues to evaluate comparable product growth rates on a constant currency basis. The Company does, however, expect to incur similar types of expenses and currency exchange impacts in the future, and this non-GAAP financial information should not be viewed as a statement or indication that these types of expenses will not recur. Company management encourages investors to review the Company’s consolidated financial statements and publicly filed reports in their entirety, including the reconciliation of GAAP to non-GAAP financial measures.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The Company’s adjusted EBITDA expectations for fiscal 2026 exclude potential charges or gains that may be recorded during the fiscal year, relating to, among other things, non-cash compensation; expense/(income) for business development, integration, and severance; losses on inducement/extinguishment of debt; and foreign currency revaluations. The Company does not attempt to provide reconciliations of forward-looking adjusted EBITDA to the comparable GAAP measure because the impact and timing of these potential charges or gains are inherently uncertain and difficult to predict and are unavailable without unreasonable efforts. In addition, the Company believes such reconciliations would imply a degree of precision and certainty that could be confusing to investors. Such items could have a material impact on GAAP measures of the Company’s financial performance. </w:t>
      </w:r>
    </w:p>
    <w:p>
      <w:pPr>
        <w:pStyle w:val="TextBody"/>
        <w:bidi w:val="0"/>
        <w:spacing w:before="0" w:after="0"/>
        <w:jc w:val="left"/>
      </w:pPr>
      <w:r/>
    </w:p>
    <w:p>
      <w:pPr>
        <w:pStyle w:val="TextBody"/>
        <w:bidi w:val="0"/>
        <w:spacing w:lineRule="auto" w:line="276" w:before="0" w:after="0"/>
        <w:jc w:val="both"/>
        <w:rPr>
          <w:rFonts w:ascii="Times New Roman;serif" w:hAnsi="Times New Roman;serif"/>
          <w:b/>
          <w:color w:val="000000"/>
          <w:sz w:val="23"/>
        </w:rPr>
      </w:pPr>
      <w:r>
        <w:rPr>
          <w:rFonts w:ascii="Times New Roman;serif" w:hAnsi="Times New Roman;serif"/>
          <w:b/>
          <w:color w:val="000000"/>
          <w:sz w:val="23"/>
        </w:rPr>
        <w:t>Webcast and Conference Call Information</w: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The Company will hold a teleconference call and live webcast on November 5, 2026, at 4:30 p.m. ET to discuss the results, followed by a question-and-answer session. To participate in the conference call, dial 201-689-8261 a few minutes prior to 4:30 p.m. ET. The teleconference replay will be available approximately one hour following the completion of the event and can be accessed by calling (toll free) 877-660-6853 or 201-612-7415. The conference number for the replay is 13762025.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The live webcast and replay can be accessed by going to the Investors section of the Artivion website at www.Artivion.com and selecting the heading Webcasts &amp; Presentations.</w:t>
      </w:r>
    </w:p>
    <w:p>
      <w:pPr>
        <w:pStyle w:val="TextBody"/>
        <w:bidi w:val="0"/>
        <w:spacing w:before="0" w:after="0"/>
        <w:jc w:val="left"/>
      </w:pPr>
      <w:r/>
    </w:p>
    <w:p>
      <w:pPr>
        <w:pStyle w:val="TextBody"/>
        <w:bidi w:val="0"/>
        <w:spacing w:lineRule="auto" w:line="288" w:before="0" w:after="0"/>
        <w:jc w:val="both"/>
        <w:rPr>
          <w:rFonts w:ascii="Times New Roman;serif" w:hAnsi="Times New Roman;serif"/>
          <w:b/>
          <w:color w:val="000000"/>
          <w:sz w:val="23"/>
        </w:rPr>
      </w:pPr>
      <w:r>
        <w:rPr>
          <w:rFonts w:ascii="Times New Roman;serif" w:hAnsi="Times New Roman;serif"/>
          <w:b/>
          <w:color w:val="000000"/>
          <w:sz w:val="23"/>
        </w:rPr>
        <w:t>About Artivion, Inc.</w: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Headquartered in suburban Atlanta, Georgia, Artivion, Inc. is a medical device company focused on developing simple, elegant solutions that address cardiac and vascular surgeons’ most difficult challenges in treating patients with aortic diseases. Artivion’s four major groups of products include: aortic stent grafts, surgical sealants, On-X mechanical heart valves, and implantable cardiac and vascular human tissues. Artivion markets and sells products in more than 100 countries worldwide. For additional information about Artivion, visit our website, www.Artivion.com.</w:t>
      </w:r>
    </w:p>
    <w:p>
      <w:pPr>
        <w:pStyle w:val="TextBody"/>
        <w:bidi w:val="0"/>
        <w:spacing w:before="0" w:after="283"/>
        <w:jc w:val="left"/>
      </w:pPr>
      <w:r/>
    </w:p>
    <w:p>
      <w:pPr>
        <w:pStyle w:val="TextBody"/>
        <w:bidi w:val="0"/>
        <w:spacing w:before="0" w:after="0"/>
        <w:jc w:val="righ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3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3 of 11</w:t>
                      </w:r>
                    </w:p>
                  </w:txbxContent>
                </v:textbox>
                <w10:wrap type="none"/>
              </v:rect>
            </w:pict>
          </mc:Fallback>
        </mc:AlternateContent>
      </w:r>
    </w:p>
    <w:p>
      <w:pPr>
        <w:pStyle w:val="TextBody"/>
        <w:bidi w:val="0"/>
        <w:spacing w:lineRule="auto" w:line="276" w:before="0" w:after="0"/>
        <w:jc w:val="both"/>
        <w:rPr>
          <w:rFonts w:ascii="Times New Roman;serif" w:hAnsi="Times New Roman;serif"/>
          <w:b/>
          <w:color w:val="000000"/>
          <w:sz w:val="23"/>
        </w:rPr>
      </w:pPr>
      <w:r>
        <w:rPr>
          <w:rFonts w:ascii="Times New Roman;serif" w:hAnsi="Times New Roman;serif"/>
          <w:b/>
          <w:color w:val="000000"/>
          <w:sz w:val="23"/>
        </w:rPr>
        <w:t>Forward-Looking Statements</w:t>
      </w:r>
    </w:p>
    <w:p>
      <w:pPr>
        <w:pStyle w:val="TextBody"/>
        <w:bidi w:val="0"/>
        <w:spacing w:lineRule="auto" w:line="268" w:before="0" w:after="0"/>
        <w:jc w:val="both"/>
      </w:pPr>
      <w:r>
        <w:rPr>
          <w:rFonts w:ascii="Times New Roman;serif" w:hAnsi="Times New Roman;serif"/>
          <w:b w:val="false"/>
          <w:i/>
          <w:color w:val="000000"/>
          <w:sz w:val="23"/>
        </w:rPr>
        <w:t>Statements made in this press release that look forward in time or that express management's beliefs, expectations, or hopes are forward-looking statements within the meaning of the Private Securities Litigation Reform Act of 1995. Such forward-looking statements reflect the views of management at the time such statements are made. These statements include, but are not limited to, our beliefs and expectations about our revenue, year-over-year growth, growth drivers and short and long term growth prospects, earnings, currency impacts, and other financial measures and related information; our beliefs about our competitive advantages and market opportunities; our expected product mix and business strategy; anticipated quarterly fluctuations in our business; our ability to scale our business and expand adjusted EBITDA margins; that our revenues for the full year 2026 will be in the range of $484 to $492 million, representing growth of 8% to 10% compared to 2025 on an adjusted constant currency basis; that we expect non-GAAP adjusted EBITDA to be in the range of $93 to $98 million in 2026; and our expected expenses to be incurred after close of the acquisition. These forward-looking statements are subject to a number of risks, uncertainties, estimates and assumptions that may cause actual results to differ materially from current expectations, including, but not limited to, the unpredictability of the timing and outcome of regulatory decisions and other regulatory developments; risks relating to our international operations; the benefits anticipated from the Ascyrus Medical LLC and Endospan transactions, including the expected benefits of the NEXUS Aortic Arch Stent Graft System and other pipeline products, which we may not realize; the benefits anticipated from our clinical trials may not be achieved or achieved on our anticipated timelines; and the benefits anticipated from our expansion into APAC and LATAM may not be achieved or achieved on our anticipated timelines. These risks and uncertainties include the risk factors detailed in our Securities and Exchange Commission filings, including our Form 10-Q for the quarter ended September 30, 2026. Artivion does not undertake to update its forward-looking statements, whether as a result of new information, future events, or otherwise.</w:t>
      </w:r>
      <w:r>
        <w:rPr>
          <w:color w:val="000000"/>
        </w:rPr>
        <w:t xml:space="preserve">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4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4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Operations and Comprehensive (Loss) Income </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 Share Data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pPr>
      <w:r/>
    </w:p>
    <w:tbl>
      <w:tblPr>
        <w:tblW w:w="9689" w:type="dxa"/>
        <w:jc w:val="center"/>
        <w:tblInd w:w="0" w:type="dxa"/>
        <w:tblLayout w:type="fixed"/>
        <w:tblCellMar>
          <w:top w:w="28" w:type="dxa"/>
          <w:left w:w="28" w:type="dxa"/>
          <w:bottom w:w="28" w:type="dxa"/>
          <w:right w:w="28" w:type="dxa"/>
        </w:tblCellMar>
      </w:tblPr>
      <w:tblGrid>
        <w:gridCol w:w="1555"/>
        <w:gridCol w:w="1359"/>
        <w:gridCol w:w="1375"/>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c>
          <w:tcPr>
            <w:tcW w:w="155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123,790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113,388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365,884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325,338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products and preservation services: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products and preservation services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47,813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38,993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133,942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114,254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75,977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74,395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231,942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211,084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73,030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65,359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231,572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191,519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sale of non-financial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2,947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12,536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23,065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inducement/extinguishment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7,056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8,243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6,502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7,342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0.16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0.13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0.16</w:t>
            </w: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6,502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7,342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7,043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(28,755)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29,982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5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5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p>
      <w:pPr>
        <w:pStyle w:val="TextBody"/>
        <w:bidi w:val="0"/>
        <w:spacing w:lineRule="auto" w:line="288" w:before="0" w:after="0"/>
        <w:jc w:val="center"/>
      </w:pPr>
      <w:r>
        <w:rPr>
          <w:rFonts w:ascii="Times New Roman;serif" w:hAnsi="Times New Roman;serif"/>
          <w:b w:val="false"/>
          <w:i/>
          <w:color w:val="000000"/>
          <w:sz w:val="20"/>
        </w:rPr>
        <w:t>In Thousands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908"/>
        <w:gridCol w:w="2333"/>
        <w:gridCol w:w="2291"/>
        <w:gridCol w:w="196"/>
        <w:gridCol w:w="890"/>
        <w:gridCol w:w="109"/>
        <w:gridCol w:w="109"/>
        <w:gridCol w:w="109"/>
        <w:gridCol w:w="109"/>
        <w:gridCol w:w="204"/>
        <w:gridCol w:w="783"/>
        <w:gridCol w:w="164"/>
      </w:tblGrid>
      <w:tr>
        <w:tc>
          <w:tcPr>
            <w:tcW w:w="2908"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7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c>
          <w:tcPr>
            <w:tcW w:w="7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net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preservation costs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338,811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358,082</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254,091 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 net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 net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1,042,088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884,796</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procurement fees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contingent consideration</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operating leases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finance lease obligations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76,655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101,556</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contingent consideration</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39,890 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maturities of operating leases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liability</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finance lease obligations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595,688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436,564</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per share, 5,000 shares authorized, no shares issued</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per share, 75,000 shares authorized, 50,277 and 49,330 shares issued as of September 30, 2026 and December 31, 2025, respectively</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516,604 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Retained deficit </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loss </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 1,487 shares as of September 30, 2026 and December 31, 2025</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446,400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448,232</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1,042,088</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884,796</w:t>
            </w:r>
            <w:r>
              <w:rPr>
                <w:color w:val="000000"/>
              </w:rPr>
              <w:t> </w:t>
            </w:r>
          </w:p>
        </w:tc>
        <w:tc>
          <w:tcPr>
            <w:tcW w:w="16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6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6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(Unaudited)</w:t>
      </w:r>
    </w:p>
    <w:tbl>
      <w:tblPr>
        <w:tblW w:w="9129" w:type="dxa"/>
        <w:jc w:val="center"/>
        <w:tblInd w:w="0" w:type="dxa"/>
        <w:tblLayout w:type="fixed"/>
        <w:tblCellMar>
          <w:top w:w="28" w:type="dxa"/>
          <w:left w:w="28" w:type="dxa"/>
          <w:bottom w:w="28" w:type="dxa"/>
          <w:right w:w="28" w:type="dxa"/>
        </w:tblCellMar>
      </w:tblPr>
      <w:tblGrid>
        <w:gridCol w:w="2381"/>
        <w:gridCol w:w="2095"/>
        <w:gridCol w:w="2109"/>
        <w:gridCol w:w="211"/>
        <w:gridCol w:w="796"/>
        <w:gridCol w:w="109"/>
        <w:gridCol w:w="109"/>
        <w:gridCol w:w="109"/>
        <w:gridCol w:w="109"/>
        <w:gridCol w:w="211"/>
        <w:gridCol w:w="736"/>
        <w:gridCol w:w="154"/>
      </w:tblGrid>
      <w:tr>
        <w:tc>
          <w:tcPr>
            <w:tcW w:w="2381"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income to net cash from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lease expense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Write-down of inventories and deferred preservation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inducement/extinguishment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sale of non-financial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and deferred preservation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(used in) provided by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20,320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from investing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Endospan, net of cash acquired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sale of non-financial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(152,925)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from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 and issuance of common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financing insurance premiums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short-term notes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141,570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8,852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(Decrease) increase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(16,509)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19,963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48,399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73,426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7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7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Highlights</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8684" w:type="dxa"/>
        <w:jc w:val="left"/>
        <w:tblInd w:w="0" w:type="dxa"/>
        <w:tblLayout w:type="fixed"/>
        <w:tblCellMar>
          <w:top w:w="28" w:type="dxa"/>
          <w:left w:w="28" w:type="dxa"/>
          <w:bottom w:w="28" w:type="dxa"/>
          <w:right w:w="28" w:type="dxa"/>
        </w:tblCellMar>
      </w:tblPr>
      <w:tblGrid>
        <w:gridCol w:w="1089"/>
        <w:gridCol w:w="959"/>
        <w:gridCol w:w="966"/>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c>
          <w:tcPr>
            <w:tcW w:w="108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0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Products: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Aortic stent grafts</w:t>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44,278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39,585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135,089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116,028</w:t>
            </w:r>
          </w:p>
        </w:tc>
      </w:tr>
      <w:tr>
        <w:tc>
          <w:tcPr>
            <w:tcW w:w="30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On-X</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30,317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26,797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86,774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73,943</w:t>
            </w:r>
          </w:p>
        </w:tc>
      </w:tr>
      <w:tr>
        <w:tc>
          <w:tcPr>
            <w:tcW w:w="30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sealants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18,946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57,038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56,287</w:t>
            </w:r>
          </w:p>
        </w:tc>
      </w:tr>
      <w:tr>
        <w:tc>
          <w:tcPr>
            <w:tcW w:w="30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7,649</w:t>
            </w:r>
          </w:p>
        </w:tc>
      </w:tr>
      <w:tr>
        <w:tc>
          <w:tcPr>
            <w:tcW w:w="30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products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98,160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87,665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289,507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253,907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Preservation services </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76,377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71,431</w:t>
            </w:r>
          </w:p>
        </w:tc>
      </w:tr>
      <w:tr>
        <w:tc>
          <w:tcPr>
            <w:tcW w:w="30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123,790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113,388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365,884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325,338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63,222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58,315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184,250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163,677</w:t>
            </w:r>
          </w:p>
        </w:tc>
      </w:tr>
      <w:t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40,087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36,224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128,621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111,982</w:t>
            </w:r>
          </w:p>
        </w:tc>
      </w:tr>
      <w:t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34,126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31,582</w:t>
            </w:r>
          </w:p>
        </w:tc>
      </w:tr>
      <w:t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18,097</w:t>
            </w:r>
          </w:p>
        </w:tc>
      </w:tr>
      <w:tr>
        <w:tc>
          <w:tcPr>
            <w:tcW w:w="30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123,790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113,388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365,884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325,338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8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8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Revenues </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 In Thousands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860"/>
        <w:gridCol w:w="666"/>
        <w:gridCol w:w="668"/>
        <w:gridCol w:w="211"/>
        <w:gridCol w:w="841"/>
        <w:gridCol w:w="109"/>
        <w:gridCol w:w="109"/>
        <w:gridCol w:w="109"/>
        <w:gridCol w:w="109"/>
        <w:gridCol w:w="211"/>
        <w:gridCol w:w="841"/>
        <w:gridCol w:w="109"/>
        <w:gridCol w:w="109"/>
        <w:gridCol w:w="109"/>
        <w:gridCol w:w="109"/>
        <w:gridCol w:w="452"/>
        <w:gridCol w:w="808"/>
        <w:gridCol w:w="235"/>
        <w:gridCol w:w="109"/>
        <w:gridCol w:w="109"/>
        <w:gridCol w:w="109"/>
        <w:gridCol w:w="267"/>
        <w:gridCol w:w="1066"/>
        <w:gridCol w:w="137"/>
        <w:gridCol w:w="109"/>
        <w:gridCol w:w="109"/>
        <w:gridCol w:w="109"/>
        <w:gridCol w:w="434"/>
        <w:gridCol w:w="419"/>
        <w:gridCol w:w="563"/>
      </w:tblGrid>
      <w:tr>
        <w:tc>
          <w:tcPr>
            <w:tcW w:w="86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c>
          <w:tcPr>
            <w:tcW w:w="2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 for the</w:t>
              <w:b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vMerge w:val="restart"/>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Percent</w:t>
              <w:br/>
              <w:t>Change</w:t>
              <w:br/>
              <w:t>From Prior</w:t>
              <w:br/>
              <w:t>Year</w:t>
            </w:r>
          </w:p>
        </w:tc>
      </w:tr>
      <w:tr>
        <w:tc>
          <w:tcPr>
            <w:tcW w:w="2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vMerge w:val="continue"/>
            <w:tcBorders/>
            <w:tcMar>
              <w:top w:w="0" w:type="dxa"/>
              <w:left w:w="0" w:type="dxa"/>
              <w:bottom w:w="0" w:type="dxa"/>
              <w:right w:w="0" w:type="dxa"/>
            </w:tcMar>
            <w:vAlign w:val="center"/>
          </w:tcPr>
          <w:p>
            <w:pPr>
              <w:pStyle w:val="Normal"/>
              <w:bidi w:val="0"/>
              <w:jc w:val="left"/>
            </w:pPr>
            <w:r/>
          </w:p>
        </w:tc>
      </w:tr>
      <w:tr>
        <w:tc>
          <w:tcPr>
            <w:tcW w:w="2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Exchange Rate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w:t>
            </w:r>
          </w:p>
        </w:tc>
      </w:tr>
      <w:tr>
        <w:tc>
          <w:tcPr>
            <w:tcW w:w="219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Products: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9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Aortic stent grafts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c>
          <w:tcPr>
            <w:tcW w:w="219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On-X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c>
          <w:tcPr>
            <w:tcW w:w="219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sealants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r>
              <w:rPr>
                <w:rFonts w:ascii="Times New Roman;serif" w:hAnsi="Times New Roman;serif"/>
                <w:b w:val="false"/>
                <w:color w:val="000000"/>
                <w:sz w:val="20"/>
              </w:rPr>
              <w:t>%</w:t>
            </w:r>
          </w:p>
        </w:tc>
      </w:tr>
      <w:tr>
        <w:tc>
          <w:tcPr>
            <w:tcW w:w="219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r>
      <w:tr>
        <w:tc>
          <w:tcPr>
            <w:tcW w:w="219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products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98,160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87,665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87,628</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12%</w:t>
            </w:r>
          </w:p>
        </w:tc>
      </w:tr>
      <w:tr>
        <w:tc>
          <w:tcPr>
            <w:tcW w:w="2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9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r>
              <w:rPr>
                <w:rFonts w:ascii="Times New Roman;serif" w:hAnsi="Times New Roman;serif"/>
                <w:b w:val="false"/>
                <w:color w:val="000000"/>
                <w:sz w:val="20"/>
              </w:rPr>
              <w:t>%</w:t>
            </w:r>
          </w:p>
        </w:tc>
      </w:tr>
      <w:tr>
        <w:tc>
          <w:tcPr>
            <w:tcW w:w="219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123,790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113,388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113,334</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9%</w:t>
            </w:r>
          </w:p>
        </w:tc>
      </w:tr>
      <w:tr>
        <w:tc>
          <w:tcPr>
            <w:tcW w:w="2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c>
          <w:tcPr>
            <w:tcW w:w="2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c>
          <w:tcPr>
            <w:tcW w:w="2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c>
          <w:tcPr>
            <w:tcW w:w="2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c>
          <w:tcPr>
            <w:tcW w:w="219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123,790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113,388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113,334</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9%</w:t>
            </w:r>
          </w:p>
        </w:tc>
      </w:tr>
    </w:tbl>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860"/>
        <w:gridCol w:w="665"/>
        <w:gridCol w:w="668"/>
        <w:gridCol w:w="211"/>
        <w:gridCol w:w="841"/>
        <w:gridCol w:w="109"/>
        <w:gridCol w:w="109"/>
        <w:gridCol w:w="109"/>
        <w:gridCol w:w="109"/>
        <w:gridCol w:w="211"/>
        <w:gridCol w:w="841"/>
        <w:gridCol w:w="109"/>
        <w:gridCol w:w="109"/>
        <w:gridCol w:w="109"/>
        <w:gridCol w:w="109"/>
        <w:gridCol w:w="332"/>
        <w:gridCol w:w="994"/>
        <w:gridCol w:w="171"/>
        <w:gridCol w:w="109"/>
        <w:gridCol w:w="109"/>
        <w:gridCol w:w="109"/>
        <w:gridCol w:w="267"/>
        <w:gridCol w:w="1066"/>
        <w:gridCol w:w="137"/>
        <w:gridCol w:w="109"/>
        <w:gridCol w:w="109"/>
        <w:gridCol w:w="109"/>
        <w:gridCol w:w="434"/>
        <w:gridCol w:w="419"/>
        <w:gridCol w:w="562"/>
      </w:tblGrid>
      <w:tr>
        <w:tc>
          <w:tcPr>
            <w:tcW w:w="8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 for the</w:t>
              <w:b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Percent</w:t>
              <w:br/>
              <w:t>Change</w:t>
              <w:br/>
              <w:t>From Prior</w:t>
              <w:br/>
              <w:t>Year</w:t>
            </w:r>
          </w:p>
        </w:tc>
      </w:tr>
      <w:t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Exchange Rate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w:t>
            </w:r>
          </w:p>
        </w:tc>
      </w:tr>
      <w:t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Products: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Aortic stent grafts</w:t>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135,089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116,028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On-X</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86,774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73,943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74,894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sealants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57,038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56,287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57,423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7,649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products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289,507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253,907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7,559</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261,466</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11%</w:t>
            </w:r>
          </w:p>
        </w:tc>
      </w:tr>
      <w:tr>
        <w:tc>
          <w:tcPr>
            <w:tcW w:w="2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76,377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71,431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71,455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365,884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325,338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7,583</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332,921</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10%</w:t>
            </w:r>
          </w:p>
        </w:tc>
      </w:tr>
      <w:tr>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163,773 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r>
      <w:t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365,884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325,338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7,583</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332,921</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9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9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General, Administrative, and Marketing Expense, EBITDA, Adjusted EBITDA, and Free Cash Flows</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1717"/>
        <w:gridCol w:w="1510"/>
        <w:gridCol w:w="1517"/>
        <w:gridCol w:w="211"/>
        <w:gridCol w:w="736"/>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55"/>
      </w:tblGrid>
      <w:tr>
        <w:tc>
          <w:tcPr>
            <w:tcW w:w="1717"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74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022" w:type="dxa"/>
            <w:gridSpan w:val="12"/>
            <w:tcBorders/>
          </w:tcPr>
          <w:p>
            <w:pPr>
              <w:pStyle w:val="TableContents"/>
              <w:bidi w:val="0"/>
              <w:spacing w:before="0" w:after="283"/>
              <w:jc w:val="left"/>
              <w:rPr>
                <w:sz w:val="4"/>
                <w:szCs w:val="4"/>
              </w:rPr>
            </w:pPr>
            <w:r>
              <w:rPr>
                <w:sz w:val="4"/>
                <w:szCs w:val="4"/>
              </w:rPr>
            </w:r>
          </w:p>
        </w:tc>
      </w:tr>
      <w:t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Reconciliation of G&amp;A expenses, GAAP to adjusted G&amp;A, non-GAAP:</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marketing expense,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development, integration, and severance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 incident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G&amp;A,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57,729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53,601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177,005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160,011</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97"/>
        <w:gridCol w:w="1560"/>
        <w:gridCol w:w="1567"/>
        <w:gridCol w:w="211"/>
        <w:gridCol w:w="736"/>
        <w:gridCol w:w="109"/>
        <w:gridCol w:w="109"/>
        <w:gridCol w:w="109"/>
        <w:gridCol w:w="109"/>
        <w:gridCol w:w="211"/>
        <w:gridCol w:w="736"/>
        <w:gridCol w:w="109"/>
        <w:gridCol w:w="109"/>
        <w:gridCol w:w="109"/>
        <w:gridCol w:w="109"/>
        <w:gridCol w:w="211"/>
        <w:gridCol w:w="765"/>
        <w:gridCol w:w="109"/>
        <w:gridCol w:w="109"/>
        <w:gridCol w:w="109"/>
        <w:gridCol w:w="109"/>
        <w:gridCol w:w="211"/>
        <w:gridCol w:w="736"/>
        <w:gridCol w:w="156"/>
      </w:tblGrid>
      <w:tr>
        <w:tc>
          <w:tcPr>
            <w:tcW w:w="1797"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9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2842" w:type="dxa"/>
            <w:gridSpan w:val="12"/>
            <w:tcBorders/>
          </w:tcPr>
          <w:p>
            <w:pPr>
              <w:pStyle w:val="TableContents"/>
              <w:bidi w:val="0"/>
              <w:spacing w:before="0" w:after="283"/>
              <w:jc w:val="left"/>
              <w:rPr>
                <w:sz w:val="4"/>
                <w:szCs w:val="4"/>
              </w:rPr>
            </w:pPr>
            <w:r>
              <w:rPr>
                <w:sz w:val="4"/>
                <w:szCs w:val="4"/>
              </w:rPr>
            </w:r>
          </w:p>
        </w:tc>
      </w:tr>
      <w:tr>
        <w:tc>
          <w:tcPr>
            <w:tcW w:w="4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4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Reconciliation of net (loss) income, GAAP and EBITDA, non-GAAP to adjusted EBITDA, non-GAAP:</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non-GAAP</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9,840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18,652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23,616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45,544</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development, integration, and severance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 incident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inducement/extinguishment of debt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foreign currency revaluation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erif" w:hAnsi="Times New Roman;serif"/>
                <w:b w:val="false"/>
                <w:color w:val="000000"/>
                <w:sz w:val="20"/>
              </w:rPr>
              <w:t>Gain from sale of non-financial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22,492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24,567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70,958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66,879</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74"/>
        <w:gridCol w:w="1560"/>
        <w:gridCol w:w="1567"/>
        <w:gridCol w:w="211"/>
        <w:gridCol w:w="769"/>
        <w:gridCol w:w="109"/>
        <w:gridCol w:w="109"/>
        <w:gridCol w:w="109"/>
        <w:gridCol w:w="109"/>
        <w:gridCol w:w="211"/>
        <w:gridCol w:w="736"/>
        <w:gridCol w:w="109"/>
        <w:gridCol w:w="109"/>
        <w:gridCol w:w="109"/>
        <w:gridCol w:w="109"/>
        <w:gridCol w:w="211"/>
        <w:gridCol w:w="769"/>
        <w:gridCol w:w="109"/>
        <w:gridCol w:w="109"/>
        <w:gridCol w:w="109"/>
        <w:gridCol w:w="109"/>
        <w:gridCol w:w="211"/>
        <w:gridCol w:w="721"/>
        <w:gridCol w:w="157"/>
      </w:tblGrid>
      <w:tr>
        <w:tc>
          <w:tcPr>
            <w:tcW w:w="1774"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90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2832" w:type="dxa"/>
            <w:gridSpan w:val="12"/>
            <w:tcBorders/>
          </w:tcPr>
          <w:p>
            <w:pPr>
              <w:pStyle w:val="TableContents"/>
              <w:bidi w:val="0"/>
              <w:spacing w:before="0" w:after="283"/>
              <w:jc w:val="left"/>
              <w:rPr>
                <w:sz w:val="4"/>
                <w:szCs w:val="4"/>
              </w:rPr>
            </w:pPr>
            <w:r>
              <w:rPr>
                <w:sz w:val="4"/>
                <w:szCs w:val="4"/>
              </w:rPr>
            </w:r>
          </w:p>
        </w:tc>
      </w:tr>
      <w:tr>
        <w:tc>
          <w:tcPr>
            <w:tcW w:w="4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4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c>
          <w:tcPr>
            <w:tcW w:w="4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Reconciliation of cash flows from operating activities, GAAP to free cash flows, non-GAAP:</w:t>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flows,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17,653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(36,432)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8,786</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10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10 of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Artivion,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Net Income and Diluted Income Per Common Share</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 Share Data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2234"/>
        <w:gridCol w:w="1433"/>
        <w:gridCol w:w="1457"/>
        <w:gridCol w:w="211"/>
        <w:gridCol w:w="650"/>
        <w:gridCol w:w="109"/>
        <w:gridCol w:w="109"/>
        <w:gridCol w:w="109"/>
        <w:gridCol w:w="109"/>
        <w:gridCol w:w="211"/>
        <w:gridCol w:w="631"/>
        <w:gridCol w:w="109"/>
        <w:gridCol w:w="109"/>
        <w:gridCol w:w="109"/>
        <w:gridCol w:w="109"/>
        <w:gridCol w:w="211"/>
        <w:gridCol w:w="755"/>
        <w:gridCol w:w="109"/>
        <w:gridCol w:w="109"/>
        <w:gridCol w:w="109"/>
        <w:gridCol w:w="109"/>
        <w:gridCol w:w="211"/>
        <w:gridCol w:w="736"/>
        <w:gridCol w:w="157"/>
      </w:tblGrid>
      <w:tr>
        <w:tc>
          <w:tcPr>
            <w:tcW w:w="2234"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5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12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20"/>
              </w:rPr>
            </w:pPr>
            <w:r>
              <w:rPr>
                <w:rFonts w:ascii="Times New Roman;serif" w:hAnsi="Times New Roman;serif"/>
                <w:b/>
                <w:i/>
                <w:color w:val="000000"/>
                <w:sz w:val="20"/>
              </w:rPr>
              <w:t>GAAP:</w:t>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(5,920)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7,056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(17,280)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8,243</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9"/>
              </w:rPr>
            </w:pPr>
            <w:r>
              <w:rPr>
                <w:rFonts w:ascii="Times New Roman;serif" w:hAnsi="Times New Roman;serif"/>
                <w:b/>
                <w:color w:val="000000"/>
                <w:sz w:val="19"/>
              </w:rPr>
              <w:t>(7,926)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19"/>
              </w:rPr>
              <w:t>6,502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9"/>
              </w:rPr>
            </w:pPr>
            <w:r>
              <w:rPr>
                <w:rFonts w:ascii="Times New Roman;serif" w:hAnsi="Times New Roman;serif"/>
                <w:b/>
                <w:color w:val="000000"/>
                <w:sz w:val="19"/>
              </w:rPr>
              <w:t>(20,019)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19"/>
              </w:rPr>
              <w:t>7,342</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Diluted (loss) income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0.13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0.16</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Diluted weighted-average common shares outstanding</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48,718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48,775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48,447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45,993</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20"/>
              </w:rPr>
            </w:pPr>
            <w:r>
              <w:rPr>
                <w:rFonts w:ascii="Times New Roman;serif" w:hAnsi="Times New Roman;serif"/>
                <w:b/>
                <w:i/>
                <w:color w:val="000000"/>
                <w:sz w:val="20"/>
              </w:rPr>
              <w:t>Reconciliation of (loss) income before income taxes, GAAP to adjusted income, non-GAAP:</w:t>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 GAAP:</w:t>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(5,920)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7,056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(17,280)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8,243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10,291 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development, integration, and severance </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 incident</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inducement/extinguishment of debt</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sale of non-financial assets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Adjusted income before income taxes, non-GAAP</w:t>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19"/>
              </w:rPr>
              <w:t>5,078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19"/>
              </w:rPr>
              <w:t>10,590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19"/>
              </w:rPr>
              <w:t>19,110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19"/>
              </w:rPr>
              <w:t>28,224</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calculated at a tax rate of 25%</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Adjusted net income,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19"/>
              </w:rPr>
              <w:t>3,808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19"/>
              </w:rPr>
              <w:t>7,942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19"/>
              </w:rPr>
              <w:t>14,332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19"/>
              </w:rPr>
              <w:t>21,168</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i/>
                <w:color w:val="000000"/>
                <w:sz w:val="20"/>
              </w:rPr>
            </w:pPr>
            <w:r>
              <w:rPr>
                <w:rFonts w:ascii="Times New Roman;serif" w:hAnsi="Times New Roman;serif"/>
                <w:b/>
                <w:i/>
                <w:color w:val="000000"/>
                <w:sz w:val="20"/>
              </w:rPr>
              <w:t>Reconciliation of diluted (loss) income per common share, GAAP to adjusted diluted income per common share, non-GAAP:</w:t>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Diluted (loss) income per common share, GAAP:</w:t>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0.13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0.16</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development, integration, and severance </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 incident</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inducement/extinguishment of debt</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sale of non-financial assets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non-GAAP adjustments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25% tax rate</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Adjusted diluted income per common share,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19"/>
              </w:rPr>
              <w:t>0.08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19"/>
              </w:rPr>
              <w:t>0.16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19"/>
              </w:rPr>
              <w:t>0.29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19"/>
              </w:rPr>
              <w:t>0.46</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Reconciliation of diluted weighted-average common shares outstanding GAAP to diluted weighted-average common shares outstanding, non-GAAP:</w:t>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Diluted weighted-average common shares outstanding, GAAP:</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48,718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48,775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48,447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45,993</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stock options and awards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2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Diluted weighted-average common shares outstanding, non-GAAP</w:t>
            </w:r>
          </w:p>
        </w:tc>
        <w:tc>
          <w:tcPr>
            <w:tcW w:w="8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49,814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48,775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49,706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45,993</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11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11 of 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4525</Words>
  <Characters>25900</Characters>
  <CharactersWithSpaces>29761</CharactersWithSpaces>
  <Paragraphs>1173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